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8247" w14:textId="6973C91B" w:rsidR="00476378" w:rsidRPr="005959D5" w:rsidRDefault="00476378" w:rsidP="00476378">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5F417F" w:rsidRPr="005F417F">
        <w:rPr>
          <w:rFonts w:ascii="Arial" w:eastAsia="SimSun" w:hAnsi="Arial"/>
          <w:b/>
          <w:bCs/>
          <w:sz w:val="24"/>
          <w:szCs w:val="24"/>
          <w:lang w:eastAsia="ja-JP"/>
        </w:rPr>
        <w:t>R4-2514333</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72FFFB62" w14:textId="77777777" w:rsidR="00841BCD" w:rsidRPr="0047637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3D43699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D01C8" w:rsidRPr="00ED01C8">
        <w:rPr>
          <w:rFonts w:ascii="Arial" w:eastAsia="Calibri" w:hAnsi="Arial" w:cs="Arial"/>
          <w:b/>
          <w:bCs/>
          <w:sz w:val="24"/>
        </w:rPr>
        <w:t xml:space="preserve">Impact of </w:t>
      </w:r>
      <w:r w:rsidR="00C12F4C">
        <w:rPr>
          <w:rFonts w:ascii="Arial" w:eastAsia="Calibri" w:hAnsi="Arial" w:cs="Arial"/>
          <w:b/>
          <w:bCs/>
          <w:sz w:val="24"/>
        </w:rPr>
        <w:t>configuring 2 SMTC periodicities over multiple SMTC occasions in NTN</w:t>
      </w:r>
    </w:p>
    <w:p w14:paraId="25952065" w14:textId="541C89E8" w:rsidR="00841BCD" w:rsidRPr="00C12F4C" w:rsidRDefault="00841BCD" w:rsidP="00841BCD">
      <w:pPr>
        <w:tabs>
          <w:tab w:val="left" w:pos="1985"/>
        </w:tabs>
        <w:spacing w:after="120" w:line="240" w:lineRule="auto"/>
        <w:rPr>
          <w:rFonts w:ascii="Arial" w:eastAsia="MS Mincho" w:hAnsi="Arial" w:cs="Arial"/>
          <w:b/>
          <w:bCs/>
          <w:sz w:val="24"/>
          <w:szCs w:val="20"/>
          <w:lang w:val="en-US"/>
        </w:rPr>
      </w:pPr>
      <w:r w:rsidRPr="00C12F4C">
        <w:rPr>
          <w:rFonts w:ascii="Arial" w:eastAsia="MS Mincho" w:hAnsi="Arial" w:cs="Arial"/>
          <w:b/>
          <w:bCs/>
          <w:sz w:val="24"/>
          <w:szCs w:val="20"/>
          <w:lang w:val="en-US"/>
        </w:rPr>
        <w:t>Agenda item:</w:t>
      </w:r>
      <w:r w:rsidRPr="00C12F4C">
        <w:rPr>
          <w:rFonts w:ascii="Arial" w:eastAsia="MS Mincho" w:hAnsi="Arial" w:cs="Arial"/>
          <w:b/>
          <w:bCs/>
          <w:sz w:val="24"/>
          <w:szCs w:val="20"/>
          <w:lang w:val="en-US"/>
        </w:rPr>
        <w:tab/>
      </w:r>
      <w:r w:rsidR="00C12F4C">
        <w:rPr>
          <w:rFonts w:ascii="Arial" w:eastAsia="MS Mincho" w:hAnsi="Arial" w:cs="Arial"/>
          <w:b/>
          <w:bCs/>
          <w:sz w:val="24"/>
          <w:szCs w:val="20"/>
          <w:lang w:val="en-US"/>
        </w:rPr>
        <w:t>4.25.3</w:t>
      </w:r>
    </w:p>
    <w:p w14:paraId="65088DFE" w14:textId="77777777" w:rsidR="00E323E9" w:rsidRPr="002B6B92" w:rsidRDefault="00841BCD" w:rsidP="00841BCD">
      <w:pPr>
        <w:tabs>
          <w:tab w:val="left" w:pos="1985"/>
        </w:tabs>
        <w:rPr>
          <w:rFonts w:ascii="Arial" w:eastAsia="Calibri" w:hAnsi="Arial" w:cs="Arial"/>
          <w:b/>
          <w:bCs/>
          <w:sz w:val="24"/>
          <w:lang w:val="pt-BR"/>
        </w:rPr>
      </w:pPr>
      <w:proofErr w:type="spellStart"/>
      <w:r w:rsidRPr="002B6B92">
        <w:rPr>
          <w:rFonts w:ascii="Arial" w:eastAsia="Calibri" w:hAnsi="Arial" w:cs="Arial"/>
          <w:b/>
          <w:bCs/>
          <w:sz w:val="24"/>
          <w:lang w:val="pt-BR"/>
        </w:rPr>
        <w:t>Document</w:t>
      </w:r>
      <w:proofErr w:type="spellEnd"/>
      <w:r w:rsidRPr="002B6B92">
        <w:rPr>
          <w:rFonts w:ascii="Arial" w:eastAsia="Calibri" w:hAnsi="Arial" w:cs="Arial"/>
          <w:b/>
          <w:bCs/>
          <w:sz w:val="24"/>
          <w:lang w:val="pt-BR"/>
        </w:rPr>
        <w:t xml:space="preserve"> for:</w:t>
      </w:r>
      <w:r w:rsidRPr="002B6B92">
        <w:rPr>
          <w:rFonts w:ascii="Arial" w:eastAsia="Calibri" w:hAnsi="Arial" w:cs="Arial"/>
          <w:b/>
          <w:bCs/>
          <w:sz w:val="24"/>
          <w:lang w:val="pt-BR"/>
        </w:rPr>
        <w:tab/>
      </w:r>
      <w:proofErr w:type="spellStart"/>
      <w:r w:rsidR="00AE6D09" w:rsidRPr="002B6B92">
        <w:rPr>
          <w:rFonts w:ascii="Arial" w:eastAsia="Calibri" w:hAnsi="Arial" w:cs="Arial"/>
          <w:b/>
          <w:bCs/>
          <w:sz w:val="24"/>
          <w:lang w:val="pt-BR"/>
        </w:rPr>
        <w:t>Discussion</w:t>
      </w:r>
      <w:proofErr w:type="spellEnd"/>
    </w:p>
    <w:p w14:paraId="143C382C"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7772F922" w14:textId="498FF448" w:rsidR="007A5589" w:rsidRDefault="007A5589" w:rsidP="007A5589">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64585B5E" w14:textId="29E793E4" w:rsidR="0060543D" w:rsidRPr="007A5589" w:rsidRDefault="00476378" w:rsidP="005C23A4">
      <w:pPr>
        <w:rPr>
          <w:lang w:val="en-US"/>
        </w:rPr>
      </w:pPr>
      <w:r>
        <w:t xml:space="preserve">RAN2 has agreed that up to 7 SMTCs might be configured by the serving cell in one frequency layer with up to 2 different SMTC periodicities. </w:t>
      </w:r>
      <w:r w:rsidR="00640B91">
        <w:t>RAN2 has reached further agreements in their design and had notified RAN4 in the LS R2</w:t>
      </w:r>
      <w:r w:rsidR="00640B91" w:rsidRPr="00640B91">
        <w:rPr>
          <w:lang w:val="en-US"/>
        </w:rPr>
        <w:t>-</w:t>
      </w:r>
      <w:r w:rsidR="00640B91">
        <w:t>2506298.</w:t>
      </w:r>
    </w:p>
    <w:p w14:paraId="2CB62175" w14:textId="77777777" w:rsidR="00B66B7D" w:rsidRPr="008F786B" w:rsidRDefault="003B659E" w:rsidP="00B66B7D">
      <w:pPr>
        <w:pStyle w:val="RAN4H1"/>
      </w:pPr>
      <w:bookmarkStart w:id="1" w:name="_Toc116995842"/>
      <w:r w:rsidRPr="008F786B">
        <w:t>Discussion</w:t>
      </w:r>
      <w:bookmarkEnd w:id="1"/>
    </w:p>
    <w:p w14:paraId="3E070D86" w14:textId="348E3B81" w:rsidR="001C1636" w:rsidRDefault="008545E6" w:rsidP="001C1636">
      <w:pPr>
        <w:pStyle w:val="RAN4H2"/>
      </w:pPr>
      <w:r>
        <w:t>RAN2 LS</w:t>
      </w:r>
    </w:p>
    <w:p w14:paraId="1F6D209C" w14:textId="10AA791C" w:rsidR="00CE3037" w:rsidRDefault="00895AFB" w:rsidP="00640B91">
      <w:pPr>
        <w:rPr>
          <w:lang w:val="en-US"/>
        </w:rPr>
      </w:pPr>
      <w:r>
        <w:t xml:space="preserve">In the previous meeting, RAN4 has discussed </w:t>
      </w:r>
      <w:r w:rsidR="00640B91">
        <w:t>the requirements for UEs configured with up to 6 SMTCs and two different periodicities in one frequency layer. In their LS to RAN4, RAN2 has notified about new developments in their feature design as follows:</w:t>
      </w:r>
    </w:p>
    <w:tbl>
      <w:tblPr>
        <w:tblStyle w:val="TableGrid"/>
        <w:tblW w:w="0" w:type="auto"/>
        <w:tblLook w:val="04A0" w:firstRow="1" w:lastRow="0" w:firstColumn="1" w:lastColumn="0" w:noHBand="0" w:noVBand="1"/>
      </w:tblPr>
      <w:tblGrid>
        <w:gridCol w:w="9617"/>
      </w:tblGrid>
      <w:tr w:rsidR="00895AFB" w14:paraId="244C67CA" w14:textId="77777777">
        <w:tc>
          <w:tcPr>
            <w:tcW w:w="9617" w:type="dxa"/>
          </w:tcPr>
          <w:p w14:paraId="64B34527" w14:textId="77777777" w:rsidR="00640B91" w:rsidRPr="00640B91" w:rsidRDefault="00640B91" w:rsidP="00640B91">
            <w:pPr>
              <w:rPr>
                <w:lang w:val="en-US"/>
              </w:rPr>
            </w:pPr>
            <w:r w:rsidRPr="00640B91">
              <w:rPr>
                <w:lang w:val="en-US"/>
              </w:rPr>
              <w:t>For downlink coverage enhancement, RAN2 further made the following agreements related to SMTC enhancement:</w:t>
            </w:r>
          </w:p>
          <w:p w14:paraId="4C70C4CE" w14:textId="77777777" w:rsidR="00640B91" w:rsidRPr="00640B91" w:rsidRDefault="00640B91" w:rsidP="00640B91">
            <w:pPr>
              <w:numPr>
                <w:ilvl w:val="0"/>
                <w:numId w:val="33"/>
              </w:numPr>
              <w:rPr>
                <w:lang w:val="en-US"/>
              </w:rPr>
            </w:pPr>
            <w:r w:rsidRPr="00640B91">
              <w:rPr>
                <w:lang w:val="en-US"/>
              </w:rPr>
              <w:t>We introduce a capability to support STMC enhancements to FR1 (FFS on FR2 depending on RAN4 progress).</w:t>
            </w:r>
          </w:p>
          <w:p w14:paraId="1D3AF24C" w14:textId="77777777" w:rsidR="00640B91" w:rsidRPr="00640B91" w:rsidRDefault="00640B91" w:rsidP="00640B91">
            <w:pPr>
              <w:numPr>
                <w:ilvl w:val="0"/>
                <w:numId w:val="33"/>
              </w:numPr>
              <w:rPr>
                <w:lang w:val="en-US"/>
              </w:rPr>
            </w:pPr>
            <w:r w:rsidRPr="00640B91">
              <w:rPr>
                <w:lang w:val="en-US"/>
              </w:rPr>
              <w:t>The maximum number configured SMTCs for idle/inactive is 7 and it also includes the SMTC of the serving cell (This updates a previous decision to have a maximum of 6 STMCs).</w:t>
            </w:r>
            <w:bookmarkStart w:id="2" w:name="OLE_LINK2"/>
          </w:p>
          <w:p w14:paraId="796E10D1" w14:textId="77777777" w:rsidR="00640B91" w:rsidRPr="00640B91" w:rsidRDefault="00640B91" w:rsidP="00640B91">
            <w:pPr>
              <w:numPr>
                <w:ilvl w:val="0"/>
                <w:numId w:val="33"/>
              </w:numPr>
              <w:rPr>
                <w:lang w:val="en-US"/>
              </w:rPr>
            </w:pPr>
            <w:r w:rsidRPr="00640B91">
              <w:rPr>
                <w:lang w:val="en-US"/>
              </w:rPr>
              <w:t>RAN2 reconfirms the understanding that if the NW configures more than 4 STMCs the UE in idle/inactive the UE selects up to 4 STMCs (or less, depending on the UE capability) based on location and only considers them for measurements.</w:t>
            </w:r>
          </w:p>
          <w:p w14:paraId="0E881F82" w14:textId="77777777" w:rsidR="00640B91" w:rsidRPr="00640B91" w:rsidRDefault="00640B91" w:rsidP="00640B91">
            <w:pPr>
              <w:numPr>
                <w:ilvl w:val="0"/>
                <w:numId w:val="33"/>
              </w:numPr>
              <w:rPr>
                <w:lang w:val="en-US"/>
              </w:rPr>
            </w:pPr>
            <w:r w:rsidRPr="00640B91">
              <w:rPr>
                <w:lang w:val="en-US"/>
              </w:rPr>
              <w:t>In connected mode the NW will only configure up to 4 STMC.</w:t>
            </w:r>
          </w:p>
          <w:bookmarkEnd w:id="2"/>
          <w:p w14:paraId="172D8230" w14:textId="77777777" w:rsidR="00640B91" w:rsidRPr="00640B91" w:rsidRDefault="00640B91" w:rsidP="00640B91">
            <w:pPr>
              <w:numPr>
                <w:ilvl w:val="0"/>
                <w:numId w:val="33"/>
              </w:numPr>
              <w:rPr>
                <w:lang w:val="en-US"/>
              </w:rPr>
            </w:pPr>
            <w:r w:rsidRPr="00640B91">
              <w:rPr>
                <w:lang w:val="en-US"/>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p w14:paraId="0D62E267" w14:textId="77777777" w:rsidR="00895AFB" w:rsidRPr="00895AFB" w:rsidRDefault="00895AFB" w:rsidP="00895AFB">
            <w:r w:rsidRPr="00895AFB">
              <w:rPr>
                <w:i/>
                <w:iCs/>
              </w:rPr>
              <w:t> </w:t>
            </w:r>
            <w:r w:rsidRPr="00895AFB">
              <w:t> </w:t>
            </w:r>
          </w:p>
          <w:p w14:paraId="217F1B70" w14:textId="77777777" w:rsidR="00895AFB" w:rsidRDefault="00895AFB" w:rsidP="00B66B7D">
            <w:pPr>
              <w:rPr>
                <w:lang w:val="en-US"/>
              </w:rPr>
            </w:pPr>
          </w:p>
        </w:tc>
      </w:tr>
    </w:tbl>
    <w:p w14:paraId="13F08EE3" w14:textId="77777777" w:rsidR="00895AFB" w:rsidRDefault="00895AFB" w:rsidP="00B66B7D">
      <w:pPr>
        <w:rPr>
          <w:lang w:val="en-US"/>
        </w:rPr>
      </w:pPr>
    </w:p>
    <w:p w14:paraId="3DE0789F" w14:textId="2896D53A" w:rsidR="00640B91" w:rsidRDefault="00640B91" w:rsidP="00B66B7D">
      <w:pPr>
        <w:rPr>
          <w:lang w:val="en-US"/>
        </w:rPr>
      </w:pPr>
      <w:r>
        <w:rPr>
          <w:lang w:val="en-US"/>
        </w:rPr>
        <w:t>We will provide comments for each of the points in the agreements made by RAN2:</w:t>
      </w:r>
    </w:p>
    <w:p w14:paraId="6A74335A" w14:textId="77777777" w:rsidR="00640B91" w:rsidRDefault="00640B91" w:rsidP="00B66B7D">
      <w:pPr>
        <w:rPr>
          <w:lang w:val="en-US"/>
        </w:rPr>
      </w:pPr>
    </w:p>
    <w:p w14:paraId="5FAAAEC1" w14:textId="31C76B13" w:rsidR="00640B91" w:rsidRDefault="00640B91" w:rsidP="00640B91">
      <w:pPr>
        <w:pStyle w:val="ListParagraph"/>
        <w:numPr>
          <w:ilvl w:val="0"/>
          <w:numId w:val="34"/>
        </w:numPr>
        <w:rPr>
          <w:lang w:val="en-US"/>
        </w:rPr>
      </w:pPr>
      <w:r w:rsidRPr="00640B91">
        <w:rPr>
          <w:lang w:val="en-US"/>
        </w:rPr>
        <w:t>“We introduce a capability to support STMC enhancements to FR1 (FFS on FR2 depending on RAN4 progress)”</w:t>
      </w:r>
    </w:p>
    <w:p w14:paraId="06FF66E0" w14:textId="77777777" w:rsidR="00640B91" w:rsidRPr="00640B91" w:rsidRDefault="00640B91" w:rsidP="00640B91">
      <w:pPr>
        <w:pStyle w:val="ListParagraph"/>
        <w:spacing w:after="0" w:line="240" w:lineRule="auto"/>
        <w:rPr>
          <w:lang w:val="en-US"/>
        </w:rPr>
      </w:pPr>
    </w:p>
    <w:p w14:paraId="79CEC735" w14:textId="09F05CDE" w:rsidR="00640B91" w:rsidRDefault="00640B91" w:rsidP="00B66B7D">
      <w:pPr>
        <w:rPr>
          <w:lang w:val="en-US"/>
        </w:rPr>
      </w:pPr>
      <w:r>
        <w:rPr>
          <w:lang w:val="en-US"/>
        </w:rPr>
        <w:t xml:space="preserve">This agreement does impact RAN4 discussions, it only confirms that there are no backwards compatibility issues with legacy UEs, as only the UEs that support the new feature (DL Coverage enhancements) are affected by the new feature. </w:t>
      </w:r>
    </w:p>
    <w:p w14:paraId="31532727" w14:textId="49BEBFBA" w:rsidR="00640B91" w:rsidRDefault="00640B91" w:rsidP="00640B91">
      <w:pPr>
        <w:pStyle w:val="RAN4observation0"/>
        <w:rPr>
          <w:lang w:val="en-US"/>
        </w:rPr>
      </w:pPr>
      <w:bookmarkStart w:id="3" w:name="_Toc210299095"/>
      <w:r>
        <w:rPr>
          <w:lang w:val="en-US"/>
        </w:rPr>
        <w:lastRenderedPageBreak/>
        <w:t>For UEs that do not support the new feature, legacy requirements are still applicable.</w:t>
      </w:r>
      <w:bookmarkEnd w:id="3"/>
      <w:r>
        <w:rPr>
          <w:lang w:val="en-US"/>
        </w:rPr>
        <w:t xml:space="preserve"> </w:t>
      </w:r>
    </w:p>
    <w:p w14:paraId="54934EBD" w14:textId="77777777" w:rsidR="00640B91" w:rsidRDefault="00640B91" w:rsidP="00640B91">
      <w:pPr>
        <w:rPr>
          <w:lang w:val="en-US"/>
        </w:rPr>
      </w:pPr>
    </w:p>
    <w:p w14:paraId="32408C04" w14:textId="72659785" w:rsidR="00640B91" w:rsidRDefault="00640B91" w:rsidP="00640B91">
      <w:pPr>
        <w:pStyle w:val="ListParagraph"/>
        <w:numPr>
          <w:ilvl w:val="0"/>
          <w:numId w:val="34"/>
        </w:numPr>
        <w:rPr>
          <w:lang w:val="en-US"/>
        </w:rPr>
      </w:pPr>
      <w:r w:rsidRPr="00640B91">
        <w:rPr>
          <w:lang w:val="en-US"/>
        </w:rPr>
        <w:t>“The maximum number configured SMTCs for idle/inactive is 7 and it also includes the SMTC of the serving cell (This updates a previous decision to have a maximum of 6 STMCs</w:t>
      </w:r>
      <w:r w:rsidR="002C0CD1">
        <w:rPr>
          <w:lang w:val="en-US"/>
        </w:rPr>
        <w:t>)</w:t>
      </w:r>
      <w:r w:rsidRPr="00640B91">
        <w:rPr>
          <w:lang w:val="en-US"/>
        </w:rPr>
        <w:t>”</w:t>
      </w:r>
    </w:p>
    <w:p w14:paraId="783B384E" w14:textId="54DAA9B4" w:rsidR="002C0CD1" w:rsidRPr="002C0CD1" w:rsidRDefault="00D52706" w:rsidP="002C0CD1">
      <w:pPr>
        <w:numPr>
          <w:ilvl w:val="0"/>
          <w:numId w:val="34"/>
        </w:numPr>
        <w:spacing w:after="0" w:line="240" w:lineRule="auto"/>
        <w:rPr>
          <w:lang w:val="en-US"/>
        </w:rPr>
      </w:pPr>
      <w:r>
        <w:rPr>
          <w:lang w:val="en-US"/>
        </w:rPr>
        <w:t>“</w:t>
      </w:r>
      <w:r w:rsidR="002C0CD1" w:rsidRPr="00640B91">
        <w:rPr>
          <w:lang w:val="en-US"/>
        </w:rPr>
        <w:t>RAN2 reconfirms the understanding that if the NW configures more than 4 STMCs the UE in idle/inactive the UE selects up to 4 STMCs (or less, depending on the UE capability) based on location and only considers them for measurements.</w:t>
      </w:r>
      <w:r>
        <w:rPr>
          <w:lang w:val="en-US"/>
        </w:rPr>
        <w:t>”</w:t>
      </w:r>
    </w:p>
    <w:p w14:paraId="23C93927" w14:textId="77777777" w:rsidR="002C0CD1" w:rsidRDefault="002C0CD1" w:rsidP="002C0CD1">
      <w:pPr>
        <w:pStyle w:val="ListParagraph"/>
        <w:rPr>
          <w:lang w:val="en-US"/>
        </w:rPr>
      </w:pPr>
    </w:p>
    <w:p w14:paraId="29D24183" w14:textId="1141F0F0" w:rsidR="00640B91" w:rsidRDefault="002C0CD1" w:rsidP="00640B91">
      <w:pPr>
        <w:rPr>
          <w:lang w:val="en-US"/>
        </w:rPr>
      </w:pPr>
      <w:r>
        <w:rPr>
          <w:lang w:val="en-US"/>
        </w:rPr>
        <w:t xml:space="preserve">In a general sense the number of SMTCs to be measured do not impact RAN4 progress either, as the total number of SMTCs is re-confirmed to be limited to the number equal to UE capability. For the second part, this confirmation by RAN2 revises RAN4 understanding of “round-robin” utilization of all SMTCs configured and “longer requirements” by UE implementation when the number of SMTCs configured in idle mode exceeds the UE capability. Therefore, in order to capture RAN2 understanding, RAN4 needs to enforce in its specification the </w:t>
      </w:r>
      <w:proofErr w:type="spellStart"/>
      <w:r>
        <w:rPr>
          <w:lang w:val="en-US"/>
        </w:rPr>
        <w:t>downselection</w:t>
      </w:r>
      <w:proofErr w:type="spellEnd"/>
      <w:r>
        <w:rPr>
          <w:lang w:val="en-US"/>
        </w:rPr>
        <w:t xml:space="preserve"> of SMTC opportunities. </w:t>
      </w:r>
    </w:p>
    <w:p w14:paraId="02A05F6E" w14:textId="31A632F8" w:rsidR="002C0CD1" w:rsidRDefault="002C0CD1" w:rsidP="002C0CD1">
      <w:pPr>
        <w:pStyle w:val="RAN4proposal"/>
        <w:rPr>
          <w:lang w:val="en-US"/>
        </w:rPr>
      </w:pPr>
      <w:bookmarkStart w:id="4" w:name="_Toc210299096"/>
      <w:r>
        <w:rPr>
          <w:lang w:val="en-US"/>
        </w:rPr>
        <w:t xml:space="preserve">In IDLE/INACTIVE mode, </w:t>
      </w:r>
      <w:r w:rsidR="00D52706">
        <w:rPr>
          <w:lang w:val="en-US"/>
        </w:rPr>
        <w:t xml:space="preserve">if the UE is configured with more SMTCs than supported by UE capability in a frequency layer, including the SMTC related to the serving cell, and location information is associated to each SMTC, the UE is expected to </w:t>
      </w:r>
      <w:proofErr w:type="spellStart"/>
      <w:r w:rsidR="00D52706">
        <w:rPr>
          <w:lang w:val="en-US"/>
        </w:rPr>
        <w:t>downselect</w:t>
      </w:r>
      <w:proofErr w:type="spellEnd"/>
      <w:r w:rsidR="00D52706">
        <w:rPr>
          <w:lang w:val="en-US"/>
        </w:rPr>
        <w:t xml:space="preserve"> the number of SMTCs, based on the location information, to match the maximum supported by UE capability.</w:t>
      </w:r>
      <w:bookmarkEnd w:id="4"/>
      <w:r w:rsidR="00D52706">
        <w:rPr>
          <w:lang w:val="en-US"/>
        </w:rPr>
        <w:t xml:space="preserve"> </w:t>
      </w:r>
    </w:p>
    <w:p w14:paraId="650F9D2D" w14:textId="3C6CA738" w:rsidR="00D52706" w:rsidRDefault="00D52706" w:rsidP="00D52706">
      <w:pPr>
        <w:pStyle w:val="RAN4proposal"/>
        <w:rPr>
          <w:lang w:val="en-US"/>
        </w:rPr>
      </w:pPr>
      <w:bookmarkStart w:id="5" w:name="_Toc210299097"/>
      <w:r>
        <w:rPr>
          <w:lang w:val="en-US"/>
        </w:rPr>
        <w:t>The SMTC associated to the serving cell has to be always within the set of SMTCs selected by the UE to perform measurements.</w:t>
      </w:r>
      <w:bookmarkEnd w:id="5"/>
      <w:r>
        <w:rPr>
          <w:lang w:val="en-US"/>
        </w:rPr>
        <w:t xml:space="preserve"> </w:t>
      </w:r>
    </w:p>
    <w:p w14:paraId="07B7D4BA" w14:textId="02AD7E87" w:rsidR="00D52706" w:rsidRDefault="00D52706" w:rsidP="00640B91">
      <w:pPr>
        <w:pStyle w:val="ListParagraph"/>
        <w:numPr>
          <w:ilvl w:val="0"/>
          <w:numId w:val="35"/>
        </w:numPr>
        <w:rPr>
          <w:lang w:val="en-US"/>
        </w:rPr>
      </w:pPr>
      <w:r w:rsidRPr="00D52706">
        <w:rPr>
          <w:lang w:val="en-US"/>
        </w:rPr>
        <w:t>“In connected mode the NW will only configure up to 4 STMC.”</w:t>
      </w:r>
    </w:p>
    <w:p w14:paraId="5875BDD0" w14:textId="77777777" w:rsidR="00D52706" w:rsidRDefault="00D52706" w:rsidP="00D52706">
      <w:pPr>
        <w:rPr>
          <w:lang w:val="en-US"/>
        </w:rPr>
      </w:pPr>
      <w:r>
        <w:rPr>
          <w:lang w:val="en-US"/>
        </w:rPr>
        <w:t xml:space="preserve">At first glance this agreement seems to be in line with legacy RAN4 specification. However, at a closer look, UEs are not mandate to support 4 SMTCs. The actual number of SMTCs supported by one UE which may be </w:t>
      </w:r>
      <w:r w:rsidRPr="00D52706">
        <w:rPr>
          <w:b/>
          <w:bCs/>
          <w:u w:val="single"/>
          <w:lang w:val="en-US"/>
        </w:rPr>
        <w:t>up to 4</w:t>
      </w:r>
      <w:r>
        <w:rPr>
          <w:lang w:val="en-US"/>
        </w:rPr>
        <w:t>)  might be smaller than 4. Therefore, RAN4 has to notify in their LS Reply to RAN2 that:</w:t>
      </w:r>
    </w:p>
    <w:p w14:paraId="5A6B006D" w14:textId="77777777" w:rsidR="00D52706" w:rsidRDefault="00D52706" w:rsidP="00D52706">
      <w:pPr>
        <w:pStyle w:val="RAN4proposal"/>
        <w:rPr>
          <w:lang w:val="en-US"/>
        </w:rPr>
      </w:pPr>
      <w:bookmarkStart w:id="6" w:name="_Toc210299098"/>
      <w:r>
        <w:rPr>
          <w:lang w:val="en-US"/>
        </w:rPr>
        <w:t>In connected mode, the NW is not expected to configure a number of SMTCs that exceeds UE capability. If a UE is configured with more SMTCs than supported, the UE will only measure the first X SMTCs (where X is the number of supported SMTCs by this UE).</w:t>
      </w:r>
      <w:bookmarkEnd w:id="6"/>
      <w:r>
        <w:rPr>
          <w:lang w:val="en-US"/>
        </w:rPr>
        <w:t xml:space="preserve"> </w:t>
      </w:r>
    </w:p>
    <w:p w14:paraId="6CFD8C98" w14:textId="77777777" w:rsidR="008545E6" w:rsidRDefault="008545E6" w:rsidP="008545E6">
      <w:pPr>
        <w:rPr>
          <w:lang w:val="en-US"/>
        </w:rPr>
      </w:pPr>
    </w:p>
    <w:p w14:paraId="7E8832CE" w14:textId="0BA615C2" w:rsidR="008545E6" w:rsidRDefault="008545E6" w:rsidP="008545E6">
      <w:pPr>
        <w:rPr>
          <w:lang w:val="en-US"/>
        </w:rPr>
      </w:pPr>
      <w:r>
        <w:rPr>
          <w:lang w:val="en-US"/>
        </w:rPr>
        <w:t xml:space="preserve">The latest agreement in RAN2 ls is the most crucial point in their LS, as indicates that if RAN4 does not agree on requirements for two SMTC periodicities, RAN2 will limit the application of this feature in NR. We will focus in this point in a dedicated subsection. </w:t>
      </w:r>
    </w:p>
    <w:p w14:paraId="1C5ADB1B" w14:textId="77777777" w:rsidR="008545E6" w:rsidRPr="008545E6" w:rsidRDefault="008545E6" w:rsidP="008545E6">
      <w:pPr>
        <w:rPr>
          <w:lang w:val="en-US"/>
        </w:rPr>
      </w:pPr>
    </w:p>
    <w:p w14:paraId="52C6FFB6" w14:textId="239713B9" w:rsidR="00D52706" w:rsidRDefault="008545E6" w:rsidP="008545E6">
      <w:pPr>
        <w:pStyle w:val="RAN4H2"/>
        <w:rPr>
          <w:lang w:val="en-US"/>
        </w:rPr>
      </w:pPr>
      <w:r>
        <w:rPr>
          <w:lang w:val="en-US"/>
        </w:rPr>
        <w:t xml:space="preserve">Two SMTC periodicities within one frequency layer. </w:t>
      </w:r>
    </w:p>
    <w:p w14:paraId="25DE548F" w14:textId="194D90E0" w:rsidR="008545E6" w:rsidRDefault="008545E6" w:rsidP="008545E6">
      <w:pPr>
        <w:rPr>
          <w:lang w:val="en-US"/>
        </w:rPr>
      </w:pPr>
      <w:r>
        <w:rPr>
          <w:lang w:val="en-US"/>
        </w:rPr>
        <w:t>In their LS to RAN4, RAN2 indicates that:</w:t>
      </w:r>
    </w:p>
    <w:p w14:paraId="2724041F" w14:textId="77777777" w:rsidR="008545E6" w:rsidRDefault="008545E6" w:rsidP="008545E6">
      <w:pPr>
        <w:pStyle w:val="ListParagraph"/>
        <w:numPr>
          <w:ilvl w:val="0"/>
          <w:numId w:val="35"/>
        </w:numPr>
        <w:rPr>
          <w:lang w:val="en-US"/>
        </w:rPr>
      </w:pPr>
      <w:r>
        <w:rPr>
          <w:lang w:val="en-US"/>
        </w:rPr>
        <w:t>“</w:t>
      </w:r>
      <w:r w:rsidRPr="00D52706">
        <w:rPr>
          <w:lang w:val="en-US"/>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r>
        <w:rPr>
          <w:lang w:val="en-US"/>
        </w:rPr>
        <w:t>“</w:t>
      </w:r>
    </w:p>
    <w:p w14:paraId="6C0D8C90" w14:textId="798B39EC" w:rsidR="008545E6" w:rsidRPr="00646FAA" w:rsidRDefault="008545E6" w:rsidP="008545E6">
      <w:pPr>
        <w:rPr>
          <w:lang w:val="en-US"/>
        </w:rPr>
      </w:pPr>
      <w:r>
        <w:rPr>
          <w:lang w:val="en-US"/>
        </w:rPr>
        <w:t>RAN2 is thereby confirming the implementation of 2 SMTC periodicities configured in parallel</w:t>
      </w:r>
      <w:r w:rsidR="00646FAA">
        <w:rPr>
          <w:lang w:val="en-US"/>
        </w:rPr>
        <w:t xml:space="preserve">. RAN4 has addressed the issue and has reached the following </w:t>
      </w:r>
      <w:proofErr w:type="gramStart"/>
      <w:r w:rsidR="00646FAA">
        <w:rPr>
          <w:lang w:val="en-US"/>
        </w:rPr>
        <w:t>conclusion :</w:t>
      </w:r>
      <w:proofErr w:type="gramEnd"/>
    </w:p>
    <w:tbl>
      <w:tblPr>
        <w:tblStyle w:val="TableGrid"/>
        <w:tblW w:w="0" w:type="auto"/>
        <w:tblLook w:val="04A0" w:firstRow="1" w:lastRow="0" w:firstColumn="1" w:lastColumn="0" w:noHBand="0" w:noVBand="1"/>
      </w:tblPr>
      <w:tblGrid>
        <w:gridCol w:w="9617"/>
      </w:tblGrid>
      <w:tr w:rsidR="00D52706" w14:paraId="333BA58E" w14:textId="77777777" w:rsidTr="00D52706">
        <w:tc>
          <w:tcPr>
            <w:tcW w:w="9617" w:type="dxa"/>
          </w:tcPr>
          <w:p w14:paraId="084E2420" w14:textId="77777777" w:rsidR="008545E6" w:rsidRPr="008545E6" w:rsidRDefault="008545E6" w:rsidP="008545E6">
            <w:pPr>
              <w:spacing w:after="120" w:line="252" w:lineRule="auto"/>
              <w:rPr>
                <w:b/>
                <w:bCs/>
                <w:u w:val="single"/>
                <w:lang w:eastAsia="ja-JP"/>
              </w:rPr>
            </w:pPr>
            <w:r w:rsidRPr="008545E6">
              <w:rPr>
                <w:b/>
                <w:bCs/>
                <w:u w:val="single"/>
                <w:lang w:eastAsia="ja-JP"/>
              </w:rPr>
              <w:t>Agreement (ad-hoc):</w:t>
            </w:r>
          </w:p>
          <w:p w14:paraId="38CCA23D" w14:textId="77777777" w:rsidR="008545E6" w:rsidRPr="008545E6" w:rsidRDefault="008545E6" w:rsidP="008545E6">
            <w:pPr>
              <w:pStyle w:val="List"/>
              <w:numPr>
                <w:ilvl w:val="0"/>
                <w:numId w:val="31"/>
              </w:numPr>
              <w:ind w:left="360"/>
              <w:rPr>
                <w:rFonts w:eastAsia="Malgun Gothic"/>
                <w:lang w:eastAsia="ko-KR"/>
              </w:rPr>
            </w:pPr>
            <w:r w:rsidRPr="008545E6">
              <w:rPr>
                <w:rFonts w:hint="eastAsia"/>
                <w:bCs/>
              </w:rPr>
              <w:t xml:space="preserve">When </w:t>
            </w:r>
            <w:r w:rsidRPr="008545E6">
              <w:rPr>
                <w:bCs/>
              </w:rPr>
              <w:t>two different SMTC periodicities (with different offsets) in one frequency layer are configured,</w:t>
            </w:r>
          </w:p>
          <w:p w14:paraId="1D78C3FF" w14:textId="77777777" w:rsidR="008545E6" w:rsidRPr="008545E6" w:rsidRDefault="008545E6" w:rsidP="008545E6">
            <w:pPr>
              <w:pStyle w:val="List"/>
              <w:numPr>
                <w:ilvl w:val="1"/>
                <w:numId w:val="31"/>
              </w:numPr>
              <w:ind w:left="1080"/>
              <w:rPr>
                <w:rFonts w:eastAsia="Malgun Gothic"/>
                <w:lang w:eastAsia="ko-KR"/>
              </w:rPr>
            </w:pPr>
            <w:r w:rsidRPr="008545E6">
              <w:rPr>
                <w:bCs/>
                <w:szCs w:val="21"/>
              </w:rPr>
              <w:t xml:space="preserve">For </w:t>
            </w:r>
            <w:proofErr w:type="spellStart"/>
            <w:r w:rsidRPr="008545E6">
              <w:rPr>
                <w:rFonts w:eastAsia="Times New Roman" w:hint="eastAsia"/>
                <w:bCs/>
                <w:lang w:eastAsia="ko-KR"/>
              </w:rPr>
              <w:t>T</w:t>
            </w:r>
            <w:r w:rsidRPr="008545E6">
              <w:rPr>
                <w:rFonts w:eastAsia="Times New Roman" w:hint="eastAsia"/>
                <w:bCs/>
                <w:vertAlign w:val="subscript"/>
                <w:lang w:eastAsia="ko-KR"/>
              </w:rPr>
              <w:t>target_cell_SMTC_period</w:t>
            </w:r>
            <w:proofErr w:type="spellEnd"/>
            <w:r w:rsidRPr="008545E6">
              <w:rPr>
                <w:bCs/>
                <w:szCs w:val="21"/>
              </w:rPr>
              <w:t xml:space="preserve"> in </w:t>
            </w:r>
            <w:r w:rsidRPr="008545E6">
              <w:rPr>
                <w:rFonts w:hint="eastAsia"/>
                <w:bCs/>
                <w:szCs w:val="21"/>
              </w:rPr>
              <w:t>paging interruption requirements</w:t>
            </w:r>
            <w:r w:rsidRPr="008545E6">
              <w:rPr>
                <w:bCs/>
                <w:szCs w:val="21"/>
              </w:rPr>
              <w:t>:</w:t>
            </w:r>
          </w:p>
          <w:p w14:paraId="3D03CC34" w14:textId="77777777" w:rsidR="008545E6" w:rsidRPr="008545E6" w:rsidRDefault="008545E6" w:rsidP="008545E6">
            <w:pPr>
              <w:pStyle w:val="List"/>
              <w:numPr>
                <w:ilvl w:val="2"/>
                <w:numId w:val="31"/>
              </w:numPr>
              <w:ind w:left="1800"/>
              <w:rPr>
                <w:rFonts w:eastAsia="Malgun Gothic"/>
                <w:lang w:eastAsia="ko-KR"/>
              </w:rPr>
            </w:pPr>
            <w:proofErr w:type="spellStart"/>
            <w:r w:rsidRPr="008545E6">
              <w:rPr>
                <w:rFonts w:eastAsia="Times New Roman" w:hint="eastAsia"/>
                <w:bCs/>
                <w:lang w:eastAsia="ko-KR"/>
              </w:rPr>
              <w:lastRenderedPageBreak/>
              <w:t>T</w:t>
            </w:r>
            <w:r w:rsidRPr="008545E6">
              <w:rPr>
                <w:rFonts w:eastAsia="Times New Roman" w:hint="eastAsia"/>
                <w:bCs/>
                <w:vertAlign w:val="subscript"/>
                <w:lang w:eastAsia="ko-KR"/>
              </w:rPr>
              <w:t>target_cell_SMTC_period</w:t>
            </w:r>
            <w:proofErr w:type="spellEnd"/>
            <w:r w:rsidRPr="008545E6">
              <w:rPr>
                <w:rFonts w:hint="eastAsia"/>
                <w:bCs/>
              </w:rPr>
              <w:t xml:space="preserve"> </w:t>
            </w:r>
            <w:r w:rsidRPr="008545E6">
              <w:rPr>
                <w:rFonts w:eastAsia="DengXian"/>
                <w:bCs/>
                <w:szCs w:val="21"/>
              </w:rPr>
              <w:t xml:space="preserve">is </w:t>
            </w:r>
            <w:r w:rsidRPr="008545E6">
              <w:rPr>
                <w:rFonts w:eastAsia="DengXian" w:hint="eastAsia"/>
                <w:bCs/>
                <w:szCs w:val="21"/>
              </w:rPr>
              <w:t>t</w:t>
            </w:r>
            <w:r w:rsidRPr="008545E6">
              <w:rPr>
                <w:rFonts w:eastAsia="DengXian"/>
                <w:bCs/>
                <w:szCs w:val="21"/>
              </w:rPr>
              <w:t>he SMTC periodicity corresponding to the physical cell ID of the target cell</w:t>
            </w:r>
          </w:p>
          <w:p w14:paraId="55BDB411" w14:textId="77777777" w:rsidR="008545E6" w:rsidRPr="008545E6" w:rsidRDefault="008545E6" w:rsidP="008545E6">
            <w:pPr>
              <w:pStyle w:val="List"/>
              <w:numPr>
                <w:ilvl w:val="1"/>
                <w:numId w:val="31"/>
              </w:numPr>
              <w:ind w:left="1080"/>
              <w:rPr>
                <w:rFonts w:eastAsia="Malgun Gothic"/>
                <w:lang w:eastAsia="ko-KR"/>
              </w:rPr>
            </w:pPr>
            <w:r w:rsidRPr="008545E6">
              <w:rPr>
                <w:rFonts w:eastAsia="Malgun Gothic"/>
                <w:lang w:eastAsia="ko-KR"/>
              </w:rPr>
              <w:t xml:space="preserve">For </w:t>
            </w:r>
            <w:proofErr w:type="spellStart"/>
            <w:r w:rsidRPr="008545E6">
              <w:rPr>
                <w:rFonts w:cs="v4.2.0"/>
              </w:rPr>
              <w:t>K</w:t>
            </w:r>
            <w:r w:rsidRPr="008545E6">
              <w:rPr>
                <w:rFonts w:cs="v4.2.0"/>
                <w:vertAlign w:val="subscript"/>
              </w:rPr>
              <w:t>multi_SMTC</w:t>
            </w:r>
            <w:proofErr w:type="spellEnd"/>
            <w:r w:rsidRPr="008545E6">
              <w:rPr>
                <w:rFonts w:cs="v4.2.0"/>
              </w:rPr>
              <w:t xml:space="preserve">, </w:t>
            </w:r>
            <w:proofErr w:type="spellStart"/>
            <w:r w:rsidRPr="008545E6">
              <w:rPr>
                <w:rFonts w:cs="v4.2.0"/>
              </w:rPr>
              <w:t>K_satellite</w:t>
            </w:r>
            <w:proofErr w:type="spellEnd"/>
            <w:r w:rsidRPr="008545E6">
              <w:rPr>
                <w:rFonts w:cs="v4.2.0"/>
              </w:rPr>
              <w:t xml:space="preserve">, </w:t>
            </w:r>
            <w:proofErr w:type="spellStart"/>
            <w:r w:rsidRPr="008545E6">
              <w:rPr>
                <w:rFonts w:cs="v4.2.0" w:hint="eastAsia"/>
                <w:lang w:val="en-US" w:eastAsia="zh-CN"/>
              </w:rPr>
              <w:t>K</w:t>
            </w:r>
            <w:r w:rsidRPr="008545E6">
              <w:rPr>
                <w:rFonts w:cs="v4.2.0" w:hint="eastAsia"/>
                <w:vertAlign w:val="subscript"/>
                <w:lang w:val="en-US" w:eastAsia="zh-CN"/>
              </w:rPr>
              <w:t>p</w:t>
            </w:r>
            <w:proofErr w:type="spellEnd"/>
            <w:r w:rsidRPr="008545E6">
              <w:rPr>
                <w:rFonts w:cs="v4.2.0"/>
              </w:rPr>
              <w:t xml:space="preserve">, </w:t>
            </w:r>
            <w:r w:rsidRPr="008545E6">
              <w:t>K</w:t>
            </w:r>
            <w:r w:rsidRPr="008545E6">
              <w:rPr>
                <w:vertAlign w:val="subscript"/>
              </w:rPr>
              <w:t>layer1_measurement</w:t>
            </w:r>
            <w:r w:rsidRPr="008545E6">
              <w:rPr>
                <w:rFonts w:cs="v4.2.0"/>
              </w:rPr>
              <w:t xml:space="preserve">, and </w:t>
            </w:r>
            <w:proofErr w:type="spellStart"/>
            <w:r w:rsidRPr="008545E6">
              <w:rPr>
                <w:rFonts w:hint="eastAsia"/>
                <w:lang w:val="en-US" w:eastAsia="zh-CN"/>
              </w:rPr>
              <w:t>K</w:t>
            </w:r>
            <w:r w:rsidRPr="008545E6">
              <w:rPr>
                <w:rFonts w:hint="eastAsia"/>
                <w:vertAlign w:val="subscript"/>
                <w:lang w:val="en-US" w:eastAsia="zh-CN"/>
              </w:rPr>
              <w:t>gap</w:t>
            </w:r>
            <w:proofErr w:type="spellEnd"/>
            <w:r w:rsidRPr="008545E6">
              <w:rPr>
                <w:rFonts w:eastAsia="Malgun Gothic"/>
                <w:lang w:eastAsia="ko-KR"/>
              </w:rPr>
              <w:t xml:space="preserve"> in RRC Connected mode intra/inter-frequency measurement requirement:</w:t>
            </w:r>
          </w:p>
          <w:p w14:paraId="69B1CD76" w14:textId="77777777" w:rsidR="008545E6" w:rsidRPr="008545E6" w:rsidRDefault="008545E6" w:rsidP="008545E6">
            <w:pPr>
              <w:pStyle w:val="List"/>
              <w:numPr>
                <w:ilvl w:val="2"/>
                <w:numId w:val="31"/>
              </w:numPr>
              <w:ind w:left="1800"/>
              <w:rPr>
                <w:rFonts w:eastAsia="Malgun Gothic"/>
                <w:highlight w:val="green"/>
                <w:lang w:eastAsia="ko-KR"/>
              </w:rPr>
            </w:pPr>
            <w:r w:rsidRPr="008545E6">
              <w:rPr>
                <w:rFonts w:eastAsiaTheme="minorEastAsia"/>
                <w:bCs/>
                <w:iCs/>
                <w:highlight w:val="green"/>
                <w:lang w:eastAsia="zh-CN"/>
              </w:rPr>
              <w:t xml:space="preserve">To be confirmed in maintenance phase: </w:t>
            </w:r>
          </w:p>
          <w:p w14:paraId="6524072D" w14:textId="77777777" w:rsidR="008545E6" w:rsidRPr="008545E6" w:rsidRDefault="008545E6" w:rsidP="008545E6">
            <w:pPr>
              <w:pStyle w:val="List"/>
              <w:numPr>
                <w:ilvl w:val="3"/>
                <w:numId w:val="31"/>
              </w:numPr>
              <w:ind w:left="2520"/>
              <w:rPr>
                <w:rFonts w:eastAsia="Malgun Gothic"/>
                <w:highlight w:val="green"/>
                <w:lang w:eastAsia="ko-KR"/>
              </w:rPr>
            </w:pPr>
            <w:bookmarkStart w:id="7" w:name="_Hlk210242380"/>
            <w:proofErr w:type="spellStart"/>
            <w:r w:rsidRPr="008545E6">
              <w:rPr>
                <w:rFonts w:eastAsiaTheme="minorEastAsia"/>
                <w:bCs/>
                <w:iCs/>
                <w:highlight w:val="green"/>
                <w:lang w:eastAsia="zh-CN"/>
              </w:rPr>
              <w:t>K</w:t>
            </w:r>
            <w:r w:rsidRPr="008545E6">
              <w:rPr>
                <w:rFonts w:eastAsiaTheme="minorEastAsia"/>
                <w:bCs/>
                <w:iCs/>
                <w:highlight w:val="green"/>
                <w:vertAlign w:val="subscript"/>
                <w:lang w:eastAsia="zh-CN"/>
              </w:rPr>
              <w:t>multi_SMTC</w:t>
            </w:r>
            <w:bookmarkEnd w:id="7"/>
            <w:r w:rsidRPr="008545E6">
              <w:rPr>
                <w:rFonts w:eastAsiaTheme="minorEastAsia"/>
                <w:bCs/>
                <w:iCs/>
                <w:highlight w:val="green"/>
                <w:vertAlign w:val="subscript"/>
                <w:lang w:eastAsia="zh-CN"/>
              </w:rPr>
              <w:t>,i</w:t>
            </w:r>
            <w:proofErr w:type="spellEnd"/>
            <w:r w:rsidRPr="008545E6">
              <w:rPr>
                <w:rFonts w:eastAsiaTheme="minorEastAsia" w:hint="eastAsia"/>
                <w:bCs/>
                <w:iCs/>
                <w:highlight w:val="green"/>
                <w:lang w:eastAsia="zh-CN"/>
              </w:rPr>
              <w:t xml:space="preserve"> </w:t>
            </w:r>
            <w:r w:rsidRPr="008545E6">
              <w:rPr>
                <w:rFonts w:eastAsiaTheme="minorEastAsia"/>
                <w:bCs/>
                <w:iCs/>
                <w:highlight w:val="green"/>
                <w:lang w:eastAsia="zh-CN"/>
              </w:rPr>
              <w:t xml:space="preserve">= </w:t>
            </w:r>
            <w:proofErr w:type="spellStart"/>
            <w:r w:rsidRPr="008545E6">
              <w:rPr>
                <w:rFonts w:eastAsiaTheme="minorEastAsia"/>
                <w:bCs/>
                <w:iCs/>
                <w:highlight w:val="green"/>
                <w:lang w:eastAsia="zh-CN"/>
              </w:rPr>
              <w:t>max</w:t>
            </w:r>
            <w:r w:rsidRPr="008545E6">
              <w:rPr>
                <w:rFonts w:eastAsiaTheme="minorEastAsia"/>
                <w:bCs/>
                <w:iCs/>
                <w:highlight w:val="green"/>
                <w:vertAlign w:val="subscript"/>
                <w:lang w:eastAsia="zh-CN"/>
              </w:rPr>
              <w:t>j</w:t>
            </w:r>
            <w:proofErr w:type="spellEnd"/>
            <w:r w:rsidRPr="008545E6">
              <w:rPr>
                <w:rFonts w:eastAsiaTheme="minorEastAsia" w:hint="eastAsia"/>
                <w:bCs/>
                <w:iCs/>
                <w:highlight w:val="green"/>
                <w:lang w:eastAsia="zh-CN"/>
              </w:rPr>
              <w:t>(</w:t>
            </w:r>
            <w:proofErr w:type="spellStart"/>
            <w:r w:rsidRPr="008545E6">
              <w:rPr>
                <w:rFonts w:eastAsiaTheme="minorEastAsia"/>
                <w:bCs/>
                <w:iCs/>
                <w:highlight w:val="green"/>
                <w:lang w:eastAsia="zh-CN"/>
              </w:rPr>
              <w:t>K</w:t>
            </w:r>
            <w:r w:rsidRPr="008545E6">
              <w:rPr>
                <w:rFonts w:eastAsiaTheme="minorEastAsia"/>
                <w:bCs/>
                <w:iCs/>
                <w:highlight w:val="green"/>
                <w:vertAlign w:val="subscript"/>
                <w:lang w:eastAsia="zh-CN"/>
              </w:rPr>
              <w:t>multi_SMTC,i,j</w:t>
            </w:r>
            <w:proofErr w:type="spellEnd"/>
            <w:r w:rsidRPr="008545E6">
              <w:rPr>
                <w:rFonts w:eastAsiaTheme="minorEastAsia"/>
                <w:bCs/>
                <w:iCs/>
                <w:highlight w:val="green"/>
                <w:lang w:eastAsia="zh-CN"/>
              </w:rPr>
              <w:t xml:space="preserve">), where </w:t>
            </w:r>
            <w:proofErr w:type="spellStart"/>
            <w:r w:rsidRPr="008545E6">
              <w:rPr>
                <w:rFonts w:eastAsiaTheme="minorEastAsia"/>
                <w:bCs/>
                <w:iCs/>
                <w:highlight w:val="green"/>
                <w:lang w:eastAsia="zh-CN"/>
              </w:rPr>
              <w:t>K</w:t>
            </w:r>
            <w:r w:rsidRPr="008545E6">
              <w:rPr>
                <w:rFonts w:eastAsiaTheme="minorEastAsia"/>
                <w:bCs/>
                <w:iCs/>
                <w:highlight w:val="green"/>
                <w:vertAlign w:val="subscript"/>
                <w:lang w:eastAsia="zh-CN"/>
              </w:rPr>
              <w:t>multi_SMTC,i,j</w:t>
            </w:r>
            <w:proofErr w:type="spellEnd"/>
            <w:r w:rsidRPr="008545E6">
              <w:rPr>
                <w:rFonts w:eastAsiaTheme="minorEastAsia"/>
                <w:bCs/>
                <w:iCs/>
                <w:highlight w:val="green"/>
                <w:lang w:eastAsia="zh-CN"/>
              </w:rPr>
              <w:t xml:space="preserve"> is calculated in the legacy way for the j-th occasion of </w:t>
            </w:r>
            <w:proofErr w:type="spellStart"/>
            <w:r w:rsidRPr="008545E6">
              <w:rPr>
                <w:rFonts w:eastAsiaTheme="minorEastAsia"/>
                <w:bCs/>
                <w:iCs/>
                <w:highlight w:val="green"/>
                <w:lang w:eastAsia="zh-CN"/>
              </w:rPr>
              <w:t>SMTC#i</w:t>
            </w:r>
            <w:proofErr w:type="spellEnd"/>
            <w:r w:rsidRPr="008545E6">
              <w:rPr>
                <w:rFonts w:eastAsiaTheme="minorEastAsia"/>
                <w:bCs/>
                <w:iCs/>
                <w:highlight w:val="green"/>
                <w:lang w:eastAsia="zh-CN"/>
              </w:rPr>
              <w:t>.</w:t>
            </w:r>
          </w:p>
          <w:p w14:paraId="323424FC" w14:textId="77777777" w:rsidR="008545E6" w:rsidRPr="008545E6" w:rsidRDefault="008545E6" w:rsidP="008545E6">
            <w:pPr>
              <w:pStyle w:val="List"/>
              <w:numPr>
                <w:ilvl w:val="2"/>
                <w:numId w:val="31"/>
              </w:numPr>
              <w:ind w:left="1800"/>
              <w:rPr>
                <w:rFonts w:eastAsia="Malgun Gothic"/>
                <w:lang w:eastAsia="ko-KR"/>
              </w:rPr>
            </w:pPr>
            <w:r w:rsidRPr="008545E6">
              <w:t>K</w:t>
            </w:r>
            <w:r w:rsidRPr="008545E6">
              <w:rPr>
                <w:vertAlign w:val="subscript"/>
              </w:rPr>
              <w:t>layer1_measurement</w:t>
            </w:r>
            <w:r w:rsidRPr="008545E6">
              <w:rPr>
                <w:rFonts w:eastAsia="Malgun Gothic"/>
                <w:lang w:val="en-US" w:eastAsia="ko-KR"/>
              </w:rPr>
              <w:t xml:space="preserve">: </w:t>
            </w:r>
            <w:r w:rsidRPr="008545E6">
              <w:rPr>
                <w:rFonts w:eastAsia="Malgun Gothic"/>
                <w:iCs/>
                <w:lang w:eastAsia="ko-KR"/>
              </w:rPr>
              <w:t>Calculate scaling factor K</w:t>
            </w:r>
            <w:r w:rsidRPr="008545E6">
              <w:rPr>
                <w:rFonts w:eastAsia="Malgun Gothic"/>
                <w:iCs/>
                <w:vertAlign w:val="subscript"/>
                <w:lang w:eastAsia="ko-KR"/>
              </w:rPr>
              <w:t>layer1_measurement</w:t>
            </w:r>
            <w:r w:rsidRPr="008545E6">
              <w:rPr>
                <w:rFonts w:eastAsia="Malgun Gothic"/>
                <w:iCs/>
                <w:lang w:eastAsia="ko-KR"/>
              </w:rPr>
              <w:t xml:space="preserve"> based on the union of the SMTCs</w:t>
            </w:r>
          </w:p>
          <w:p w14:paraId="0D7A9891" w14:textId="77777777" w:rsidR="00D52706" w:rsidRPr="008545E6" w:rsidRDefault="00D52706" w:rsidP="00D52706"/>
        </w:tc>
      </w:tr>
    </w:tbl>
    <w:p w14:paraId="2C3C4050" w14:textId="77777777" w:rsidR="00D52706" w:rsidRPr="00D52706" w:rsidRDefault="00D52706" w:rsidP="00D52706">
      <w:pPr>
        <w:spacing w:after="0" w:line="240" w:lineRule="auto"/>
        <w:rPr>
          <w:lang w:val="en-US"/>
        </w:rPr>
      </w:pPr>
    </w:p>
    <w:p w14:paraId="0944DF8A" w14:textId="145CF608" w:rsidR="00D52706" w:rsidRDefault="00D52706" w:rsidP="00D52706">
      <w:pPr>
        <w:pStyle w:val="RAN4proposal"/>
        <w:numPr>
          <w:ilvl w:val="0"/>
          <w:numId w:val="0"/>
        </w:numPr>
        <w:rPr>
          <w:lang w:val="en-US"/>
        </w:rPr>
      </w:pPr>
    </w:p>
    <w:p w14:paraId="13871A10" w14:textId="5E8D5889" w:rsidR="008545E6" w:rsidRPr="009D40C9" w:rsidRDefault="008545E6" w:rsidP="008545E6">
      <w:pPr>
        <w:rPr>
          <w:lang w:val="en-US"/>
        </w:rPr>
      </w:pPr>
      <w:r>
        <w:rPr>
          <w:lang w:val="en-US"/>
        </w:rPr>
        <w:t>The proposal above,</w:t>
      </w:r>
      <w:r w:rsidR="007E73ED">
        <w:rPr>
          <w:lang w:val="en-US"/>
        </w:rPr>
        <w:t xml:space="preserve"> is simple and addresses the problems of collisions. However, it might in several cases lead to a significant increase in the total requirement beyond the necessary. This is better explained by looking at </w:t>
      </w:r>
      <w:r w:rsidR="009D40C9">
        <w:rPr>
          <w:lang w:val="en-US"/>
        </w:rPr>
        <w:fldChar w:fldCharType="begin"/>
      </w:r>
      <w:r w:rsidR="009D40C9">
        <w:rPr>
          <w:lang w:val="en-US"/>
        </w:rPr>
        <w:instrText xml:space="preserve"> REF _Ref210241077 \h </w:instrText>
      </w:r>
      <w:r w:rsidR="009D40C9">
        <w:rPr>
          <w:lang w:val="en-US"/>
        </w:rPr>
      </w:r>
      <w:r w:rsidR="009D40C9">
        <w:rPr>
          <w:lang w:val="en-US"/>
        </w:rPr>
        <w:fldChar w:fldCharType="separate"/>
      </w:r>
      <w:r w:rsidR="009D40C9">
        <w:t xml:space="preserve">Figure </w:t>
      </w:r>
      <w:r w:rsidR="009D40C9">
        <w:rPr>
          <w:noProof/>
        </w:rPr>
        <w:t>1</w:t>
      </w:r>
      <w:r w:rsidR="009D40C9">
        <w:rPr>
          <w:lang w:val="en-US"/>
        </w:rPr>
        <w:fldChar w:fldCharType="end"/>
      </w:r>
      <w:r w:rsidR="009D40C9">
        <w:rPr>
          <w:lang w:val="en-US"/>
        </w:rPr>
        <w:t>. In this figure is configured with two SMTCs.</w:t>
      </w:r>
      <w:r w:rsidR="009D40C9" w:rsidRPr="009D40C9">
        <w:t xml:space="preserve"> </w:t>
      </w:r>
      <w:r w:rsidR="009D40C9" w:rsidRPr="009D40C9">
        <w:rPr>
          <w:lang w:val="en-US"/>
        </w:rPr>
        <w:t xml:space="preserve">SMTC 1 is configured with 20 </w:t>
      </w:r>
      <w:proofErr w:type="spellStart"/>
      <w:r w:rsidR="009D40C9" w:rsidRPr="009D40C9">
        <w:rPr>
          <w:lang w:val="en-US"/>
        </w:rPr>
        <w:t>ms</w:t>
      </w:r>
      <w:proofErr w:type="spellEnd"/>
      <w:r w:rsidR="009D40C9" w:rsidRPr="009D40C9">
        <w:rPr>
          <w:lang w:val="en-US"/>
        </w:rPr>
        <w:t xml:space="preserve"> periodicity, while SMTC 2 is configured with 160 </w:t>
      </w:r>
      <w:proofErr w:type="spellStart"/>
      <w:r w:rsidR="009D40C9" w:rsidRPr="009D40C9">
        <w:rPr>
          <w:lang w:val="en-US"/>
        </w:rPr>
        <w:t>ms</w:t>
      </w:r>
      <w:proofErr w:type="spellEnd"/>
      <w:r w:rsidR="009D40C9" w:rsidRPr="009D40C9">
        <w:rPr>
          <w:lang w:val="en-US"/>
        </w:rPr>
        <w:t xml:space="preserve"> periodicity. All occasions of SMTC1 are overlapped by SMTC2 occasions.</w:t>
      </w:r>
      <w:r w:rsidR="009D40C9">
        <w:rPr>
          <w:lang w:val="en-US"/>
        </w:rPr>
        <w:t xml:space="preserve"> The assumption is that </w:t>
      </w:r>
      <w:r w:rsidR="00DC58A0">
        <w:rPr>
          <w:lang w:val="en-US"/>
        </w:rPr>
        <w:t xml:space="preserve">in certain scenario </w:t>
      </w:r>
      <w:r w:rsidR="009D40C9">
        <w:rPr>
          <w:lang w:val="en-US"/>
        </w:rPr>
        <w:t xml:space="preserve">SMTC1 and SMTC2 cannot be measured </w:t>
      </w:r>
      <w:r w:rsidR="00DC58A0">
        <w:rPr>
          <w:lang w:val="en-US"/>
        </w:rPr>
        <w:t xml:space="preserve">in the same instant, for example, due to association to different satellites. </w:t>
      </w:r>
    </w:p>
    <w:p w14:paraId="4088D6D4" w14:textId="77777777" w:rsidR="007E73ED" w:rsidRDefault="007E73ED" w:rsidP="007E73ED">
      <w:pPr>
        <w:keepNext/>
      </w:pPr>
      <w:r w:rsidRPr="007E73ED">
        <w:rPr>
          <w:noProof/>
        </w:rPr>
        <w:drawing>
          <wp:inline distT="0" distB="0" distL="0" distR="0" wp14:anchorId="0BA3AF2C" wp14:editId="19A9B742">
            <wp:extent cx="6113145" cy="989488"/>
            <wp:effectExtent l="0" t="0" r="1905" b="1270"/>
            <wp:docPr id="17094796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79609"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13145" cy="989488"/>
                    </a:xfrm>
                    <a:prstGeom prst="rect">
                      <a:avLst/>
                    </a:prstGeom>
                    <a:noFill/>
                    <a:ln>
                      <a:noFill/>
                    </a:ln>
                  </pic:spPr>
                </pic:pic>
              </a:graphicData>
            </a:graphic>
          </wp:inline>
        </w:drawing>
      </w:r>
    </w:p>
    <w:p w14:paraId="4249959B" w14:textId="79F4A025" w:rsidR="00640B91" w:rsidRDefault="007E73ED" w:rsidP="007E73ED">
      <w:pPr>
        <w:pStyle w:val="Caption"/>
        <w:jc w:val="left"/>
      </w:pPr>
      <w:bookmarkStart w:id="8" w:name="_Ref210241077"/>
      <w:r>
        <w:t xml:space="preserve">Figure </w:t>
      </w:r>
      <w:r>
        <w:fldChar w:fldCharType="begin"/>
      </w:r>
      <w:r>
        <w:instrText xml:space="preserve"> SEQ Figure \* ARABIC </w:instrText>
      </w:r>
      <w:r>
        <w:fldChar w:fldCharType="separate"/>
      </w:r>
      <w:r w:rsidR="004C3FBA">
        <w:rPr>
          <w:noProof/>
        </w:rPr>
        <w:t>1</w:t>
      </w:r>
      <w:r>
        <w:fldChar w:fldCharType="end"/>
      </w:r>
      <w:bookmarkEnd w:id="8"/>
      <w:r>
        <w:t>. Two SMTCs (SMTC1 and SMTC2) configured with different periodicities. SMTC 1</w:t>
      </w:r>
      <w:r w:rsidR="00173E4B">
        <w:t xml:space="preserve"> is configured with 20 </w:t>
      </w:r>
      <w:proofErr w:type="spellStart"/>
      <w:r w:rsidR="00173E4B">
        <w:t>ms</w:t>
      </w:r>
      <w:proofErr w:type="spellEnd"/>
      <w:r w:rsidR="00173E4B">
        <w:t xml:space="preserve"> periodicity, while SMTC 2 is configured with 160 </w:t>
      </w:r>
      <w:proofErr w:type="spellStart"/>
      <w:r w:rsidR="00173E4B">
        <w:t>ms</w:t>
      </w:r>
      <w:proofErr w:type="spellEnd"/>
      <w:r w:rsidR="00173E4B">
        <w:t xml:space="preserve"> periodicity. All occasions of </w:t>
      </w:r>
      <w:r w:rsidR="006D782F">
        <w:t xml:space="preserve">SMTC2 </w:t>
      </w:r>
      <w:r w:rsidR="00173E4B">
        <w:t xml:space="preserve">are overlapped by </w:t>
      </w:r>
      <w:r w:rsidR="006D782F">
        <w:t xml:space="preserve">SMTC1 </w:t>
      </w:r>
      <w:r w:rsidR="00173E4B">
        <w:t xml:space="preserve">occasions. </w:t>
      </w:r>
    </w:p>
    <w:p w14:paraId="2F9E73AF" w14:textId="5D3AED60" w:rsidR="00173E4B" w:rsidRDefault="00DC58A0" w:rsidP="00173E4B">
      <w:pPr>
        <w:rPr>
          <w:lang w:val="en-US"/>
        </w:rPr>
      </w:pPr>
      <w:r>
        <w:rPr>
          <w:lang w:val="en-US"/>
        </w:rPr>
        <w:t xml:space="preserve">If the proposal is confirmed and the max value is accepted, the value of </w:t>
      </w:r>
      <w:proofErr w:type="spellStart"/>
      <w:r w:rsidR="00610E5A" w:rsidRPr="00610E5A">
        <w:rPr>
          <w:lang w:val="en-US"/>
        </w:rPr>
        <w:t>K</w:t>
      </w:r>
      <w:r w:rsidR="00610E5A" w:rsidRPr="00610E5A">
        <w:rPr>
          <w:vertAlign w:val="subscript"/>
          <w:lang w:val="en-US"/>
        </w:rPr>
        <w:t>multi_SMTC</w:t>
      </w:r>
      <w:proofErr w:type="spellEnd"/>
      <w:r w:rsidR="00610E5A" w:rsidRPr="00610E5A">
        <w:rPr>
          <w:vertAlign w:val="subscript"/>
          <w:lang w:val="en-US"/>
        </w:rPr>
        <w:t xml:space="preserve"> </w:t>
      </w:r>
      <w:r w:rsidR="00610E5A">
        <w:rPr>
          <w:lang w:val="en-US"/>
        </w:rPr>
        <w:t xml:space="preserve">will be equal to 2 for both cases, which means that the time-to-detect, time-to-measure and time-to-evaluate a cell will be multiplied by 2 for both cases. Observe that, although 1/8 of the SMTC1 occasions are colliding with other SMTCs, which means that the other 7/8 occasions collision-free. </w:t>
      </w:r>
    </w:p>
    <w:p w14:paraId="73BAB3A2" w14:textId="38B1514B" w:rsidR="00610E5A" w:rsidRDefault="00610E5A" w:rsidP="00610E5A">
      <w:pPr>
        <w:pStyle w:val="RAN4observation0"/>
        <w:rPr>
          <w:lang w:val="en-US"/>
        </w:rPr>
      </w:pPr>
      <w:bookmarkStart w:id="9" w:name="_Toc210299099"/>
      <w:r>
        <w:rPr>
          <w:lang w:val="en-US"/>
        </w:rPr>
        <w:t>In the example of Figure 1, the requirements related to SMTC1 are expanded by 2, even though only 1/8 of the SMTC occasions are colliding with other SMTCs.</w:t>
      </w:r>
      <w:bookmarkEnd w:id="9"/>
      <w:r>
        <w:rPr>
          <w:lang w:val="en-US"/>
        </w:rPr>
        <w:t xml:space="preserve"> </w:t>
      </w:r>
    </w:p>
    <w:p w14:paraId="5D76E928" w14:textId="77777777" w:rsidR="00A160D8" w:rsidRDefault="00610E5A" w:rsidP="00610E5A">
      <w:pPr>
        <w:rPr>
          <w:lang w:val="en-US"/>
        </w:rPr>
      </w:pPr>
      <w:r>
        <w:rPr>
          <w:lang w:val="en-US"/>
        </w:rPr>
        <w:t xml:space="preserve">Likewise, for the SMTC with 160 </w:t>
      </w:r>
      <w:proofErr w:type="spellStart"/>
      <w:r>
        <w:rPr>
          <w:lang w:val="en-US"/>
        </w:rPr>
        <w:t>ms</w:t>
      </w:r>
      <w:proofErr w:type="spellEnd"/>
      <w:r>
        <w:rPr>
          <w:lang w:val="en-US"/>
        </w:rPr>
        <w:t xml:space="preserve">, the requirements for measurement procedures will be relaxed by a factor of 2 if the regular SMTC sharing previously adopted in NTN is used in this scenario. This would be considering that the “collision” occasions will be equally split between SMTC1 and SMTC2, </w:t>
      </w:r>
      <w:r w:rsidR="00A160D8">
        <w:rPr>
          <w:lang w:val="en-US"/>
        </w:rPr>
        <w:t xml:space="preserve">meaning that half of the SMTC2 occasions will be deferred to measurements in SMTC1, even though, SMTC1 had 7 collision-free opportunities already in this period. </w:t>
      </w:r>
    </w:p>
    <w:p w14:paraId="655365EE" w14:textId="77777777" w:rsidR="00A160D8" w:rsidRDefault="00A160D8" w:rsidP="00610E5A">
      <w:pPr>
        <w:rPr>
          <w:lang w:val="en-US"/>
        </w:rPr>
      </w:pPr>
      <w:r>
        <w:rPr>
          <w:lang w:val="en-US"/>
        </w:rPr>
        <w:t>It seems more efficient to establish that:</w:t>
      </w:r>
    </w:p>
    <w:p w14:paraId="6D7E1BD5" w14:textId="5F462A2B" w:rsidR="00A160D8" w:rsidRDefault="00A160D8" w:rsidP="00A160D8">
      <w:pPr>
        <w:pStyle w:val="RAN4proposal"/>
        <w:rPr>
          <w:lang w:val="en-US"/>
        </w:rPr>
      </w:pPr>
      <w:bookmarkStart w:id="10" w:name="_Toc210299100"/>
      <w:r>
        <w:rPr>
          <w:lang w:val="en-US"/>
        </w:rPr>
        <w:t>When SMTCs with different periodicities collide, for measurements purposes, the SMTC with longer periodicity shall always take precedence over the SMTC with shortest periodicity.</w:t>
      </w:r>
      <w:bookmarkEnd w:id="10"/>
      <w:r>
        <w:rPr>
          <w:lang w:val="en-US"/>
        </w:rPr>
        <w:t xml:space="preserve"> </w:t>
      </w:r>
    </w:p>
    <w:p w14:paraId="4269965D" w14:textId="6E5E03FF" w:rsidR="00A160D8" w:rsidRDefault="00A160D8" w:rsidP="00A160D8">
      <w:pPr>
        <w:rPr>
          <w:lang w:val="en-US"/>
        </w:rPr>
      </w:pPr>
      <w:r w:rsidRPr="00A160D8">
        <w:rPr>
          <w:lang w:val="en-US"/>
        </w:rPr>
        <w:t>Using this new rule, t</w:t>
      </w:r>
      <w:r>
        <w:rPr>
          <w:lang w:val="en-US"/>
        </w:rPr>
        <w:t xml:space="preserve">he total time to have 5 SMTCs available for measurements will be maintained unmodified alternating in  85/105 </w:t>
      </w:r>
      <w:proofErr w:type="spellStart"/>
      <w:r>
        <w:rPr>
          <w:lang w:val="en-US"/>
        </w:rPr>
        <w:t>ms</w:t>
      </w:r>
      <w:proofErr w:type="spellEnd"/>
      <w:r>
        <w:rPr>
          <w:lang w:val="en-US"/>
        </w:rPr>
        <w:t xml:space="preserve">, whereas the total time to have 5 SMTCs available for measurements will drop from 1285 </w:t>
      </w:r>
      <w:proofErr w:type="spellStart"/>
      <w:r>
        <w:rPr>
          <w:lang w:val="en-US"/>
        </w:rPr>
        <w:t>ms</w:t>
      </w:r>
      <w:proofErr w:type="spellEnd"/>
      <w:r>
        <w:rPr>
          <w:lang w:val="en-US"/>
        </w:rPr>
        <w:t xml:space="preserve"> to 645 </w:t>
      </w:r>
      <w:proofErr w:type="spellStart"/>
      <w:r>
        <w:rPr>
          <w:lang w:val="en-US"/>
        </w:rPr>
        <w:t>ms</w:t>
      </w:r>
      <w:proofErr w:type="spellEnd"/>
      <w:r>
        <w:rPr>
          <w:lang w:val="en-US"/>
        </w:rPr>
        <w:t xml:space="preserve">, a significant gain of 640 </w:t>
      </w:r>
      <w:proofErr w:type="spellStart"/>
      <w:r>
        <w:rPr>
          <w:lang w:val="en-US"/>
        </w:rPr>
        <w:t>ms.</w:t>
      </w:r>
      <w:proofErr w:type="spellEnd"/>
      <w:r>
        <w:rPr>
          <w:lang w:val="en-US"/>
        </w:rPr>
        <w:t xml:space="preserve"> </w:t>
      </w:r>
    </w:p>
    <w:p w14:paraId="52D37001" w14:textId="77777777" w:rsidR="00A160D8" w:rsidRDefault="00A160D8" w:rsidP="00A160D8">
      <w:pPr>
        <w:pStyle w:val="RAN4observation0"/>
        <w:rPr>
          <w:lang w:val="en-US"/>
        </w:rPr>
      </w:pPr>
      <w:bookmarkStart w:id="11" w:name="_Toc210299101"/>
      <w:r>
        <w:rPr>
          <w:lang w:val="en-US"/>
        </w:rPr>
        <w:t xml:space="preserve">In the example above, the total time for the UE to have 5 measurement opportunities in SMTC2 will be enhanced from 1285 </w:t>
      </w:r>
      <w:proofErr w:type="spellStart"/>
      <w:r>
        <w:rPr>
          <w:lang w:val="en-US"/>
        </w:rPr>
        <w:t>ms</w:t>
      </w:r>
      <w:proofErr w:type="spellEnd"/>
      <w:r>
        <w:rPr>
          <w:lang w:val="en-US"/>
        </w:rPr>
        <w:t xml:space="preserve"> to 645 </w:t>
      </w:r>
      <w:proofErr w:type="spellStart"/>
      <w:r>
        <w:rPr>
          <w:lang w:val="en-US"/>
        </w:rPr>
        <w:t>ms.</w:t>
      </w:r>
      <w:bookmarkEnd w:id="11"/>
      <w:proofErr w:type="spellEnd"/>
    </w:p>
    <w:p w14:paraId="0EF0A786" w14:textId="77777777" w:rsidR="00A160D8" w:rsidRDefault="00A160D8" w:rsidP="00A160D8">
      <w:pPr>
        <w:pStyle w:val="RAN4observation0"/>
        <w:numPr>
          <w:ilvl w:val="0"/>
          <w:numId w:val="0"/>
        </w:numPr>
        <w:rPr>
          <w:lang w:val="en-US"/>
        </w:rPr>
      </w:pPr>
    </w:p>
    <w:p w14:paraId="48BA0209" w14:textId="4E868F12" w:rsidR="0087310E" w:rsidRDefault="00A160D8" w:rsidP="0087310E">
      <w:pPr>
        <w:pStyle w:val="RAN4observation0"/>
        <w:numPr>
          <w:ilvl w:val="0"/>
          <w:numId w:val="0"/>
        </w:numPr>
        <w:rPr>
          <w:lang w:val="en-US"/>
        </w:rPr>
      </w:pPr>
      <w:bookmarkStart w:id="12" w:name="_Toc210299102"/>
      <w:r>
        <w:rPr>
          <w:lang w:val="en-US"/>
        </w:rPr>
        <w:lastRenderedPageBreak/>
        <w:t xml:space="preserve">The gains are even more pronounced if more collisions are considered. </w:t>
      </w:r>
      <w:r w:rsidR="00277CB6">
        <w:rPr>
          <w:lang w:val="en-US"/>
        </w:rPr>
        <w:t xml:space="preserve">Consider, for example, the case of Figure 2. In this example, in the worst case scenario, there is a collision among 4 SMTCs. This would cause the requirements for measurements to be </w:t>
      </w:r>
      <w:proofErr w:type="spellStart"/>
      <w:r w:rsidR="00277CB6">
        <w:rPr>
          <w:lang w:val="en-US"/>
        </w:rPr>
        <w:t>relaxaed</w:t>
      </w:r>
      <w:proofErr w:type="spellEnd"/>
      <w:r w:rsidR="00277CB6">
        <w:rPr>
          <w:lang w:val="en-US"/>
        </w:rPr>
        <w:t xml:space="preserve"> by a factor of 4. However, as previously discussed, if the longer periodicity takes precedence over the short periodicity</w:t>
      </w:r>
      <w:r w:rsidR="0087310E">
        <w:rPr>
          <w:lang w:val="en-US"/>
        </w:rPr>
        <w:t>, SMTC2 will only have to share its opportunities in collisions with SMTC4, and that would cause a relaxation factor equal to 2. Now, let’s take a look at SMTC1 and SMTC3. In this new example, some (1/8) of their opportunities are colliding with SMTCs with larger periodicity (which take precedence), and the other 7/8 are to be split equally between the two.</w:t>
      </w:r>
      <w:bookmarkEnd w:id="12"/>
      <w:r w:rsidR="0087310E">
        <w:rPr>
          <w:lang w:val="en-US"/>
        </w:rPr>
        <w:t xml:space="preserve"> </w:t>
      </w:r>
    </w:p>
    <w:p w14:paraId="63E9681D" w14:textId="77777777" w:rsidR="0020026A" w:rsidRPr="00277CB6" w:rsidRDefault="0020026A" w:rsidP="0020026A">
      <w:pPr>
        <w:rPr>
          <w:lang w:val="en-US"/>
        </w:rPr>
      </w:pPr>
    </w:p>
    <w:p w14:paraId="0C4C1880" w14:textId="77777777" w:rsidR="0020026A" w:rsidRPr="00277CB6" w:rsidRDefault="0020026A" w:rsidP="0020026A">
      <w:pPr>
        <w:rPr>
          <w:lang w:val="en-US"/>
        </w:rPr>
      </w:pPr>
    </w:p>
    <w:p w14:paraId="5E54928E" w14:textId="77777777" w:rsidR="0020026A" w:rsidRDefault="0020026A" w:rsidP="0020026A">
      <w:pPr>
        <w:pStyle w:val="RAN4observation0"/>
        <w:keepNext/>
        <w:numPr>
          <w:ilvl w:val="0"/>
          <w:numId w:val="0"/>
        </w:numPr>
      </w:pPr>
      <w:r w:rsidRPr="00A160D8">
        <w:rPr>
          <w:lang w:val="en-US"/>
        </w:rPr>
        <w:t xml:space="preserve"> </w:t>
      </w:r>
      <w:bookmarkStart w:id="13" w:name="_Toc210299103"/>
      <w:r>
        <w:rPr>
          <w:noProof/>
          <w:lang w:val="en-US"/>
        </w:rPr>
        <w:drawing>
          <wp:inline distT="0" distB="0" distL="0" distR="0" wp14:anchorId="7A3A10FC" wp14:editId="3D01DE02">
            <wp:extent cx="5730875" cy="1603375"/>
            <wp:effectExtent l="0" t="0" r="3175" b="0"/>
            <wp:docPr id="518465579" name="Picture 4" descr="A group of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65579" name="Picture 4" descr="A group of yellow and blue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875" cy="1603375"/>
                    </a:xfrm>
                    <a:prstGeom prst="rect">
                      <a:avLst/>
                    </a:prstGeom>
                    <a:noFill/>
                  </pic:spPr>
                </pic:pic>
              </a:graphicData>
            </a:graphic>
          </wp:inline>
        </w:drawing>
      </w:r>
      <w:bookmarkEnd w:id="13"/>
    </w:p>
    <w:p w14:paraId="6D874A4B" w14:textId="73A72A86" w:rsidR="0020026A" w:rsidRDefault="0020026A" w:rsidP="0020026A">
      <w:pPr>
        <w:pStyle w:val="Caption"/>
        <w:jc w:val="left"/>
      </w:pPr>
      <w:r>
        <w:t xml:space="preserve">Figure </w:t>
      </w:r>
      <w:r>
        <w:fldChar w:fldCharType="begin"/>
      </w:r>
      <w:r>
        <w:instrText xml:space="preserve"> SEQ Figure \* ARABIC </w:instrText>
      </w:r>
      <w:r>
        <w:fldChar w:fldCharType="separate"/>
      </w:r>
      <w:r w:rsidR="004C3FBA">
        <w:rPr>
          <w:noProof/>
        </w:rPr>
        <w:t>2</w:t>
      </w:r>
      <w:r>
        <w:fldChar w:fldCharType="end"/>
      </w:r>
      <w:r w:rsidR="00150012">
        <w:t xml:space="preserve"> – Four SMTCs </w:t>
      </w:r>
      <w:r w:rsidR="00A04CBE">
        <w:t xml:space="preserve">with different periodicities and offsets. </w:t>
      </w:r>
    </w:p>
    <w:p w14:paraId="32A161AB" w14:textId="77777777" w:rsidR="0087310E" w:rsidRPr="0087310E" w:rsidRDefault="0087310E" w:rsidP="0087310E">
      <w:pPr>
        <w:rPr>
          <w:lang w:val="en-US"/>
        </w:rPr>
      </w:pPr>
    </w:p>
    <w:p w14:paraId="017C1B3C" w14:textId="337795AE" w:rsidR="0087310E" w:rsidRDefault="0087310E" w:rsidP="0087310E">
      <w:pPr>
        <w:pStyle w:val="RAN4observation0"/>
        <w:numPr>
          <w:ilvl w:val="0"/>
          <w:numId w:val="0"/>
        </w:numPr>
        <w:rPr>
          <w:lang w:val="en-US"/>
        </w:rPr>
      </w:pPr>
      <w:bookmarkStart w:id="14" w:name="_Toc210299104"/>
      <w:r>
        <w:rPr>
          <w:lang w:val="en-US"/>
        </w:rPr>
        <w:t xml:space="preserve">In both cases, Figure 1 and Figure 2, if we consider that the SMTC with shorter period doesn’t take precedence over the SMTCs with longer periodicity, then we will consider the value of </w:t>
      </w:r>
      <w:proofErr w:type="spellStart"/>
      <w:r>
        <w:rPr>
          <w:lang w:val="en-US"/>
        </w:rPr>
        <w:t>K_multi_SMTC</w:t>
      </w:r>
      <w:proofErr w:type="spellEnd"/>
      <w:r>
        <w:rPr>
          <w:lang w:val="en-US"/>
        </w:rPr>
        <w:t xml:space="preserve"> only for the occasions shared between SMTCs with same periodicity.</w:t>
      </w:r>
      <w:bookmarkEnd w:id="14"/>
      <w:r>
        <w:rPr>
          <w:lang w:val="en-US"/>
        </w:rPr>
        <w:t xml:space="preserve"> </w:t>
      </w:r>
    </w:p>
    <w:p w14:paraId="0C9B63C8" w14:textId="2D10BBA1" w:rsidR="0087310E" w:rsidRDefault="0087310E" w:rsidP="0087310E">
      <w:pPr>
        <w:pStyle w:val="RAN4proposal"/>
        <w:rPr>
          <w:lang w:val="en-US"/>
        </w:rPr>
      </w:pPr>
      <w:bookmarkStart w:id="15" w:name="_Toc210299105"/>
      <w:r>
        <w:rPr>
          <w:lang w:val="en-US"/>
        </w:rPr>
        <w:t xml:space="preserve">The value of </w:t>
      </w:r>
      <w:proofErr w:type="spellStart"/>
      <w:r>
        <w:rPr>
          <w:lang w:val="en-US"/>
        </w:rPr>
        <w:t>K_multi_SMTC</w:t>
      </w:r>
      <w:proofErr w:type="spellEnd"/>
      <w:r>
        <w:rPr>
          <w:lang w:val="en-US"/>
        </w:rPr>
        <w:t xml:space="preserve"> is to be calculated only considering SMTCs with same periodicity.</w:t>
      </w:r>
      <w:bookmarkEnd w:id="15"/>
    </w:p>
    <w:p w14:paraId="6DF55490" w14:textId="77777777" w:rsidR="0020026A" w:rsidRDefault="0087310E" w:rsidP="0087310E">
      <w:pPr>
        <w:rPr>
          <w:lang w:val="en-US"/>
        </w:rPr>
      </w:pPr>
      <w:r>
        <w:rPr>
          <w:lang w:val="en-US"/>
        </w:rPr>
        <w:t>But by doing so, the amount of SMTC opportunities left for SMTC1 in Figure 1 and SMTCs 1 and 3 in Figure 2 will be smaller (by a factor of 7/8) then they would be if these SMTCs did not collide with SMTCs with larger periodicities.</w:t>
      </w:r>
      <w:r w:rsidR="0020026A">
        <w:rPr>
          <w:lang w:val="en-US"/>
        </w:rPr>
        <w:t xml:space="preserve"> In some scenarios this can be even smaller fraction.</w:t>
      </w:r>
      <w:r>
        <w:rPr>
          <w:lang w:val="en-US"/>
        </w:rPr>
        <w:t xml:space="preserve"> In order to compensate for the lost measurement opportunities, we propose to add an additive factor </w:t>
      </w:r>
      <w:r w:rsidR="0020026A">
        <w:rPr>
          <w:lang w:val="en-US"/>
        </w:rPr>
        <w:t xml:space="preserve">in the measurement requirements for SMTCs with shorter periodicity. </w:t>
      </w:r>
    </w:p>
    <w:p w14:paraId="3C689565" w14:textId="7131AB88" w:rsidR="0020026A" w:rsidRDefault="0020026A" w:rsidP="0020026A">
      <w:pPr>
        <w:pStyle w:val="RAN4proposal"/>
        <w:rPr>
          <w:lang w:val="en-US"/>
        </w:rPr>
      </w:pPr>
      <w:bookmarkStart w:id="16" w:name="_Toc210299106"/>
      <w:r w:rsidRPr="09037434">
        <w:rPr>
          <w:lang w:val="en-US"/>
        </w:rPr>
        <w:t xml:space="preserve">For SMTCs with shorter periodicity that overlap with SMTCs with larger periodicity the formula for the measurement requirements shall consider a factor </w:t>
      </w:r>
      <w:proofErr w:type="spellStart"/>
      <w:r w:rsidRPr="09037434">
        <w:rPr>
          <w:lang w:val="en-US"/>
        </w:rPr>
        <w:t>L_multi_SMTC</w:t>
      </w:r>
      <w:proofErr w:type="spellEnd"/>
      <w:r w:rsidRPr="09037434">
        <w:rPr>
          <w:lang w:val="en-US"/>
        </w:rPr>
        <w:t xml:space="preserve">, which corresponds to the number of measurement opportunities lost due to collision with SMTCs with larger periodicity within </w:t>
      </w:r>
      <w:r w:rsidR="000F4D00" w:rsidRPr="09037434">
        <w:rPr>
          <w:lang w:val="en-US"/>
        </w:rPr>
        <w:t>5 SMTC occasions</w:t>
      </w:r>
      <w:r w:rsidRPr="09037434">
        <w:rPr>
          <w:lang w:val="en-US"/>
        </w:rPr>
        <w:t>.</w:t>
      </w:r>
      <w:bookmarkEnd w:id="16"/>
      <w:r w:rsidRPr="09037434">
        <w:rPr>
          <w:lang w:val="en-US"/>
        </w:rPr>
        <w:t xml:space="preserve"> </w:t>
      </w:r>
    </w:p>
    <w:p w14:paraId="3232B717" w14:textId="213E0B2A" w:rsidR="0087310E" w:rsidRPr="0087310E" w:rsidRDefault="0087310E" w:rsidP="0020026A">
      <w:pPr>
        <w:pStyle w:val="RAN4proposal"/>
        <w:numPr>
          <w:ilvl w:val="0"/>
          <w:numId w:val="0"/>
        </w:numPr>
        <w:rPr>
          <w:lang w:val="en-US"/>
        </w:rPr>
      </w:pPr>
    </w:p>
    <w:p w14:paraId="2D668F5F" w14:textId="77777777" w:rsidR="004C3FBA" w:rsidRDefault="23BC654E" w:rsidP="00C12F4C">
      <w:pPr>
        <w:keepNext/>
      </w:pPr>
      <w:r>
        <w:rPr>
          <w:noProof/>
        </w:rPr>
        <w:lastRenderedPageBreak/>
        <w:drawing>
          <wp:inline distT="0" distB="0" distL="0" distR="0" wp14:anchorId="3C6508E4" wp14:editId="3157FD9D">
            <wp:extent cx="5778797" cy="3314870"/>
            <wp:effectExtent l="0" t="0" r="0" b="0"/>
            <wp:docPr id="333555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55822" name=""/>
                    <pic:cNvPicPr/>
                  </pic:nvPicPr>
                  <pic:blipFill>
                    <a:blip r:embed="rId15">
                      <a:extLst>
                        <a:ext uri="{28A0092B-C50C-407E-A947-70E740481C1C}">
                          <a14:useLocalDpi xmlns:a14="http://schemas.microsoft.com/office/drawing/2010/main" val="0"/>
                        </a:ext>
                      </a:extLst>
                    </a:blip>
                    <a:stretch>
                      <a:fillRect/>
                    </a:stretch>
                  </pic:blipFill>
                  <pic:spPr>
                    <a:xfrm>
                      <a:off x="0" y="0"/>
                      <a:ext cx="5778797" cy="3314870"/>
                    </a:xfrm>
                    <a:prstGeom prst="rect">
                      <a:avLst/>
                    </a:prstGeom>
                  </pic:spPr>
                </pic:pic>
              </a:graphicData>
            </a:graphic>
          </wp:inline>
        </w:drawing>
      </w:r>
    </w:p>
    <w:p w14:paraId="03BA75B1" w14:textId="435CD9A6" w:rsidR="00277CB6" w:rsidRDefault="004C3FBA" w:rsidP="00C12F4C">
      <w:pPr>
        <w:pStyle w:val="Caption"/>
        <w:jc w:val="left"/>
      </w:pPr>
      <w:r>
        <w:t xml:space="preserve">Figure </w:t>
      </w:r>
      <w:r>
        <w:fldChar w:fldCharType="begin"/>
      </w:r>
      <w:r>
        <w:instrText xml:space="preserve"> SEQ Figure \* ARABIC </w:instrText>
      </w:r>
      <w:r>
        <w:fldChar w:fldCharType="separate"/>
      </w:r>
      <w:r>
        <w:rPr>
          <w:noProof/>
        </w:rPr>
        <w:t>3</w:t>
      </w:r>
      <w:r>
        <w:fldChar w:fldCharType="end"/>
      </w:r>
      <w:r>
        <w:t xml:space="preserve"> – </w:t>
      </w:r>
      <w:r w:rsidR="00643FEF">
        <w:t>Example with f</w:t>
      </w:r>
      <w:r>
        <w:t>our</w:t>
      </w:r>
      <w:r w:rsidR="00643FEF">
        <w:t xml:space="preserve"> configured</w:t>
      </w:r>
      <w:r>
        <w:t xml:space="preserve"> SMTCs with different periodicities and offsets. </w:t>
      </w:r>
      <w:r w:rsidR="00DC27BE">
        <w:t xml:space="preserve">SMTC occasions </w:t>
      </w:r>
      <w:r w:rsidR="00EC2F89">
        <w:t xml:space="preserve">which overlap with SMTCs with different periodicities will be used for </w:t>
      </w:r>
      <w:r w:rsidR="009830EF">
        <w:t>SMTCs with the largest periodicity</w:t>
      </w:r>
    </w:p>
    <w:p w14:paraId="1412F543" w14:textId="77777777" w:rsidR="000F4D00" w:rsidRDefault="000F4D00" w:rsidP="6FAE182D"/>
    <w:p w14:paraId="629FF2BC" w14:textId="05CEA9FF" w:rsidR="000F4D00" w:rsidRPr="00277CB6" w:rsidRDefault="184C25F9" w:rsidP="6FAE182D">
      <w:r>
        <w:t xml:space="preserve">One example of the requirements </w:t>
      </w:r>
      <w:r w:rsidR="3F69FE83">
        <w:t xml:space="preserve">considering that some of the measurement occasions will be skipped in some SMTCs is given below. </w:t>
      </w:r>
    </w:p>
    <w:p w14:paraId="7B3007A2" w14:textId="481E7472" w:rsidR="00E42624" w:rsidRDefault="00E42624" w:rsidP="00C12F4C">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 Example of measurement period</w:t>
      </w:r>
    </w:p>
    <w:tbl>
      <w:tblPr>
        <w:tblW w:w="0" w:type="auto"/>
        <w:tblLayout w:type="fixed"/>
        <w:tblLook w:val="04A0" w:firstRow="1" w:lastRow="0" w:firstColumn="1" w:lastColumn="0" w:noHBand="0" w:noVBand="1"/>
      </w:tblPr>
      <w:tblGrid>
        <w:gridCol w:w="2263"/>
        <w:gridCol w:w="6978"/>
      </w:tblGrid>
      <w:tr w:rsidR="119DB0A6" w14:paraId="08CCB9F7"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3A0BE230" w14:textId="4C723976" w:rsidR="119DB0A6" w:rsidRDefault="119DB0A6" w:rsidP="119DB0A6">
            <w:pPr>
              <w:spacing w:after="0"/>
              <w:jc w:val="center"/>
            </w:pPr>
            <w:r w:rsidRPr="119DB0A6">
              <w:rPr>
                <w:rFonts w:ascii="Arial" w:eastAsia="Arial" w:hAnsi="Arial" w:cs="Arial"/>
                <w:b/>
                <w:bCs/>
                <w:sz w:val="18"/>
                <w:szCs w:val="18"/>
              </w:rPr>
              <w:t>DRX cycle</w:t>
            </w:r>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6763B8C8" w14:textId="5EB509F7" w:rsidR="119DB0A6" w:rsidRDefault="119DB0A6" w:rsidP="119DB0A6">
            <w:pPr>
              <w:spacing w:after="0"/>
              <w:jc w:val="center"/>
            </w:pPr>
            <w:proofErr w:type="spellStart"/>
            <w:r w:rsidRPr="119DB0A6">
              <w:rPr>
                <w:rFonts w:ascii="Arial" w:eastAsia="Arial" w:hAnsi="Arial" w:cs="Arial"/>
                <w:b/>
                <w:bCs/>
                <w:sz w:val="18"/>
                <w:szCs w:val="18"/>
              </w:rPr>
              <w:t>T</w:t>
            </w:r>
            <w:r w:rsidRPr="119DB0A6">
              <w:rPr>
                <w:rFonts w:ascii="Arial" w:eastAsia="Arial" w:hAnsi="Arial" w:cs="Arial"/>
                <w:b/>
                <w:bCs/>
                <w:sz w:val="18"/>
                <w:szCs w:val="18"/>
                <w:vertAlign w:val="subscript"/>
              </w:rPr>
              <w:t>SSB_measurement_period_intra</w:t>
            </w:r>
            <w:proofErr w:type="spellEnd"/>
          </w:p>
        </w:tc>
      </w:tr>
      <w:tr w:rsidR="119DB0A6" w14:paraId="59DA8C23"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7983A9EF" w14:textId="34A7B945" w:rsidR="119DB0A6" w:rsidRDefault="119DB0A6" w:rsidP="119DB0A6">
            <w:pPr>
              <w:spacing w:after="0"/>
              <w:jc w:val="center"/>
            </w:pPr>
            <w:r w:rsidRPr="119DB0A6">
              <w:rPr>
                <w:rFonts w:ascii="Arial" w:eastAsia="Arial" w:hAnsi="Arial" w:cs="Arial"/>
                <w:sz w:val="18"/>
                <w:szCs w:val="18"/>
              </w:rPr>
              <w:t>No DRX</w:t>
            </w:r>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3420AEA9" w14:textId="6C2E8B36" w:rsidR="119DB0A6" w:rsidRDefault="119DB0A6" w:rsidP="119DB0A6">
            <w:pPr>
              <w:spacing w:after="0"/>
              <w:jc w:val="center"/>
              <w:rPr>
                <w:rFonts w:ascii="Arial" w:eastAsia="Arial" w:hAnsi="Arial" w:cs="Arial"/>
                <w:sz w:val="18"/>
                <w:szCs w:val="18"/>
                <w:vertAlign w:val="subscript"/>
              </w:rPr>
            </w:pPr>
            <w:r w:rsidRPr="119DB0A6">
              <w:rPr>
                <w:rFonts w:ascii="Arial" w:eastAsia="Arial" w:hAnsi="Arial" w:cs="Arial"/>
                <w:sz w:val="18"/>
                <w:szCs w:val="18"/>
              </w:rPr>
              <w:t xml:space="preserve">max(200 </w:t>
            </w:r>
            <w:proofErr w:type="spellStart"/>
            <w:r w:rsidRPr="119DB0A6">
              <w:rPr>
                <w:rFonts w:ascii="Arial" w:eastAsia="Arial" w:hAnsi="Arial" w:cs="Arial"/>
                <w:sz w:val="18"/>
                <w:szCs w:val="18"/>
              </w:rPr>
              <w:t>ms</w:t>
            </w:r>
            <w:proofErr w:type="spellEnd"/>
            <w:r w:rsidRPr="119DB0A6">
              <w:rPr>
                <w:rFonts w:ascii="Arial" w:eastAsia="Arial" w:hAnsi="Arial" w:cs="Arial"/>
                <w:sz w:val="18"/>
                <w:szCs w:val="18"/>
              </w:rPr>
              <w:t>, ceil( (5+</w:t>
            </w:r>
            <w:r w:rsidRPr="119DB0A6">
              <w:rPr>
                <w:rFonts w:ascii="Arial" w:eastAsia="Arial" w:hAnsi="Arial" w:cs="Arial"/>
                <w:b/>
                <w:bCs/>
                <w:sz w:val="18"/>
                <w:szCs w:val="18"/>
              </w:rPr>
              <w:t xml:space="preserve"> </w:t>
            </w:r>
            <w:proofErr w:type="spellStart"/>
            <w:r w:rsidRPr="119DB0A6">
              <w:rPr>
                <w:rFonts w:ascii="Arial" w:eastAsia="Arial" w:hAnsi="Arial" w:cs="Arial"/>
                <w:sz w:val="18"/>
                <w:szCs w:val="18"/>
              </w:rPr>
              <w:t>L</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p</w:t>
            </w:r>
            <w:proofErr w:type="spellEnd"/>
            <w:r w:rsidRPr="119DB0A6">
              <w:rPr>
                <w:rFonts w:ascii="Arial" w:eastAsia="Arial" w:hAnsi="Arial" w:cs="Arial"/>
                <w:sz w:val="18"/>
                <w:szCs w:val="18"/>
              </w:rPr>
              <w:t xml:space="preserve"> x K</w:t>
            </w:r>
            <w:r w:rsidRPr="119DB0A6">
              <w:rPr>
                <w:rFonts w:ascii="Arial" w:eastAsia="Arial" w:hAnsi="Arial" w:cs="Arial"/>
                <w:sz w:val="18"/>
                <w:szCs w:val="18"/>
                <w:vertAlign w:val="subscript"/>
              </w:rPr>
              <w:t>layer1_measurement</w:t>
            </w:r>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SMTC period)</w:t>
            </w:r>
            <w:r w:rsidRPr="119DB0A6">
              <w:rPr>
                <w:rFonts w:ascii="Arial" w:eastAsia="Arial" w:hAnsi="Arial" w:cs="Arial"/>
                <w:sz w:val="18"/>
                <w:szCs w:val="18"/>
                <w:vertAlign w:val="superscript"/>
              </w:rPr>
              <w:t>Note 1</w:t>
            </w:r>
            <w:r w:rsidRPr="119DB0A6">
              <w:rPr>
                <w:rFonts w:ascii="Arial" w:eastAsia="Arial" w:hAnsi="Arial" w:cs="Arial"/>
                <w:sz w:val="18"/>
                <w:szCs w:val="18"/>
              </w:rPr>
              <w:t xml:space="preserve"> x </w:t>
            </w:r>
            <w:proofErr w:type="spellStart"/>
            <w:r w:rsidRPr="119DB0A6">
              <w:rPr>
                <w:rFonts w:ascii="Arial" w:eastAsia="Arial" w:hAnsi="Arial" w:cs="Arial"/>
                <w:sz w:val="18"/>
                <w:szCs w:val="18"/>
              </w:rPr>
              <w:t>CSSF</w:t>
            </w:r>
            <w:r w:rsidRPr="119DB0A6">
              <w:rPr>
                <w:rFonts w:ascii="Arial" w:eastAsia="Arial" w:hAnsi="Arial" w:cs="Arial"/>
                <w:sz w:val="18"/>
                <w:szCs w:val="18"/>
                <w:vertAlign w:val="subscript"/>
              </w:rPr>
              <w:t>intra</w:t>
            </w:r>
            <w:proofErr w:type="spellEnd"/>
          </w:p>
        </w:tc>
      </w:tr>
      <w:tr w:rsidR="119DB0A6" w14:paraId="460D722E"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5A0D058C" w14:textId="6385BD35" w:rsidR="119DB0A6" w:rsidRDefault="119DB0A6" w:rsidP="119DB0A6">
            <w:pPr>
              <w:spacing w:after="0"/>
              <w:jc w:val="center"/>
            </w:pPr>
            <w:r w:rsidRPr="119DB0A6">
              <w:rPr>
                <w:rFonts w:ascii="Arial" w:eastAsia="Arial" w:hAnsi="Arial" w:cs="Arial"/>
                <w:sz w:val="18"/>
                <w:szCs w:val="18"/>
              </w:rPr>
              <w:t xml:space="preserve">DRX cycle≤ 320 </w:t>
            </w:r>
            <w:proofErr w:type="spellStart"/>
            <w:r w:rsidRPr="119DB0A6">
              <w:rPr>
                <w:rFonts w:ascii="Arial" w:eastAsia="Arial" w:hAnsi="Arial" w:cs="Arial"/>
                <w:sz w:val="18"/>
                <w:szCs w:val="18"/>
              </w:rPr>
              <w:t>ms</w:t>
            </w:r>
            <w:proofErr w:type="spellEnd"/>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34036A51" w14:textId="28004557" w:rsidR="119DB0A6" w:rsidRDefault="119DB0A6" w:rsidP="119DB0A6">
            <w:pPr>
              <w:spacing w:after="0"/>
              <w:jc w:val="center"/>
              <w:rPr>
                <w:rFonts w:ascii="Arial" w:eastAsia="Arial" w:hAnsi="Arial" w:cs="Arial"/>
                <w:sz w:val="18"/>
                <w:szCs w:val="18"/>
                <w:vertAlign w:val="subscript"/>
              </w:rPr>
            </w:pPr>
            <w:r w:rsidRPr="119DB0A6">
              <w:rPr>
                <w:rFonts w:ascii="Arial" w:eastAsia="Arial" w:hAnsi="Arial" w:cs="Arial"/>
                <w:sz w:val="18"/>
                <w:szCs w:val="18"/>
              </w:rPr>
              <w:t xml:space="preserve">max(200 </w:t>
            </w:r>
            <w:proofErr w:type="spellStart"/>
            <w:r w:rsidRPr="119DB0A6">
              <w:rPr>
                <w:rFonts w:ascii="Arial" w:eastAsia="Arial" w:hAnsi="Arial" w:cs="Arial"/>
                <w:sz w:val="18"/>
                <w:szCs w:val="18"/>
              </w:rPr>
              <w:t>ms</w:t>
            </w:r>
            <w:proofErr w:type="spellEnd"/>
            <w:r w:rsidRPr="119DB0A6">
              <w:rPr>
                <w:rFonts w:ascii="Arial" w:eastAsia="Arial" w:hAnsi="Arial" w:cs="Arial"/>
                <w:sz w:val="18"/>
                <w:szCs w:val="18"/>
              </w:rPr>
              <w:t>, ceil(1.5x (5+</w:t>
            </w:r>
            <w:r w:rsidRPr="119DB0A6">
              <w:rPr>
                <w:rFonts w:ascii="Arial" w:eastAsia="Arial" w:hAnsi="Arial" w:cs="Arial"/>
                <w:b/>
                <w:bCs/>
                <w:sz w:val="18"/>
                <w:szCs w:val="18"/>
              </w:rPr>
              <w:t xml:space="preserve"> </w:t>
            </w:r>
            <w:proofErr w:type="spellStart"/>
            <w:r w:rsidRPr="119DB0A6">
              <w:rPr>
                <w:rFonts w:ascii="Arial" w:eastAsia="Arial" w:hAnsi="Arial" w:cs="Arial"/>
                <w:sz w:val="18"/>
                <w:szCs w:val="18"/>
              </w:rPr>
              <w:t>L</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vertAlign w:val="subscript"/>
              </w:rPr>
              <w:t xml:space="preserve"> </w:t>
            </w:r>
            <w:r w:rsidRPr="119DB0A6">
              <w:rPr>
                <w:rFonts w:ascii="Arial" w:eastAsia="Arial" w:hAnsi="Arial" w:cs="Arial"/>
                <w:sz w:val="18"/>
                <w:szCs w:val="18"/>
              </w:rPr>
              <w:t xml:space="preserve">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p</w:t>
            </w:r>
            <w:proofErr w:type="spellEnd"/>
            <w:r w:rsidRPr="119DB0A6">
              <w:rPr>
                <w:rFonts w:ascii="Arial" w:eastAsia="Arial" w:hAnsi="Arial" w:cs="Arial"/>
                <w:sz w:val="18"/>
                <w:szCs w:val="18"/>
              </w:rPr>
              <w:t xml:space="preserve"> x K</w:t>
            </w:r>
            <w:r w:rsidRPr="119DB0A6">
              <w:rPr>
                <w:rFonts w:ascii="Arial" w:eastAsia="Arial" w:hAnsi="Arial" w:cs="Arial"/>
                <w:sz w:val="18"/>
                <w:szCs w:val="18"/>
                <w:vertAlign w:val="subscript"/>
              </w:rPr>
              <w:t>layer1_measurement</w:t>
            </w:r>
            <w:r w:rsidRPr="119DB0A6">
              <w:rPr>
                <w:rFonts w:ascii="Arial" w:eastAsia="Arial" w:hAnsi="Arial" w:cs="Arial"/>
                <w:sz w:val="18"/>
                <w:szCs w:val="18"/>
              </w:rPr>
              <w:t xml:space="preserve">)  x max(SMTC </w:t>
            </w:r>
            <w:proofErr w:type="spellStart"/>
            <w:r w:rsidRPr="119DB0A6">
              <w:rPr>
                <w:rFonts w:ascii="Arial" w:eastAsia="Arial" w:hAnsi="Arial" w:cs="Arial"/>
                <w:sz w:val="18"/>
                <w:szCs w:val="18"/>
              </w:rPr>
              <w:t>period,DRX</w:t>
            </w:r>
            <w:proofErr w:type="spellEnd"/>
            <w:r w:rsidRPr="119DB0A6">
              <w:rPr>
                <w:rFonts w:ascii="Arial" w:eastAsia="Arial" w:hAnsi="Arial" w:cs="Arial"/>
                <w:sz w:val="18"/>
                <w:szCs w:val="18"/>
              </w:rPr>
              <w:t xml:space="preserve"> cycle)) x </w:t>
            </w:r>
            <w:proofErr w:type="spellStart"/>
            <w:r w:rsidRPr="119DB0A6">
              <w:rPr>
                <w:rFonts w:ascii="Arial" w:eastAsia="Arial" w:hAnsi="Arial" w:cs="Arial"/>
                <w:sz w:val="18"/>
                <w:szCs w:val="18"/>
              </w:rPr>
              <w:t>CSSF</w:t>
            </w:r>
            <w:r w:rsidRPr="119DB0A6">
              <w:rPr>
                <w:rFonts w:ascii="Arial" w:eastAsia="Arial" w:hAnsi="Arial" w:cs="Arial"/>
                <w:sz w:val="18"/>
                <w:szCs w:val="18"/>
                <w:vertAlign w:val="subscript"/>
              </w:rPr>
              <w:t>intra</w:t>
            </w:r>
            <w:proofErr w:type="spellEnd"/>
          </w:p>
        </w:tc>
      </w:tr>
      <w:tr w:rsidR="119DB0A6" w14:paraId="6A49F7EB"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1ECA22A0" w14:textId="77F1D70A" w:rsidR="119DB0A6" w:rsidRDefault="119DB0A6" w:rsidP="119DB0A6">
            <w:pPr>
              <w:spacing w:after="0"/>
              <w:jc w:val="center"/>
            </w:pPr>
            <w:r w:rsidRPr="119DB0A6">
              <w:rPr>
                <w:rFonts w:ascii="Arial" w:eastAsia="Arial" w:hAnsi="Arial" w:cs="Arial"/>
                <w:sz w:val="18"/>
                <w:szCs w:val="18"/>
              </w:rPr>
              <w:t xml:space="preserve">DRX cycle&gt;320 </w:t>
            </w:r>
            <w:proofErr w:type="spellStart"/>
            <w:r w:rsidRPr="119DB0A6">
              <w:rPr>
                <w:rFonts w:ascii="Arial" w:eastAsia="Arial" w:hAnsi="Arial" w:cs="Arial"/>
                <w:sz w:val="18"/>
                <w:szCs w:val="18"/>
              </w:rPr>
              <w:t>ms</w:t>
            </w:r>
            <w:proofErr w:type="spellEnd"/>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0E7939F8" w14:textId="2137944F" w:rsidR="119DB0A6" w:rsidRDefault="119DB0A6" w:rsidP="119DB0A6">
            <w:pPr>
              <w:spacing w:after="0"/>
              <w:jc w:val="center"/>
              <w:rPr>
                <w:rFonts w:ascii="Arial" w:eastAsia="Arial" w:hAnsi="Arial" w:cs="Arial"/>
                <w:sz w:val="18"/>
                <w:szCs w:val="18"/>
                <w:vertAlign w:val="subscript"/>
              </w:rPr>
            </w:pPr>
            <w:r w:rsidRPr="119DB0A6">
              <w:rPr>
                <w:rFonts w:ascii="Arial" w:eastAsia="Arial" w:hAnsi="Arial" w:cs="Arial"/>
                <w:sz w:val="18"/>
                <w:szCs w:val="18"/>
              </w:rPr>
              <w:t>ceil((5+</w:t>
            </w:r>
            <w:r w:rsidRPr="119DB0A6">
              <w:rPr>
                <w:rFonts w:ascii="Arial" w:eastAsia="Arial" w:hAnsi="Arial" w:cs="Arial"/>
                <w:b/>
                <w:bCs/>
                <w:sz w:val="18"/>
                <w:szCs w:val="18"/>
              </w:rPr>
              <w:t xml:space="preserve"> </w:t>
            </w:r>
            <w:proofErr w:type="spellStart"/>
            <w:r w:rsidRPr="119DB0A6">
              <w:rPr>
                <w:rFonts w:ascii="Arial" w:eastAsia="Arial" w:hAnsi="Arial" w:cs="Arial"/>
                <w:sz w:val="18"/>
                <w:szCs w:val="18"/>
              </w:rPr>
              <w:t>L</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vertAlign w:val="subscript"/>
              </w:rPr>
              <w:t xml:space="preserve"> </w:t>
            </w:r>
            <w:r w:rsidRPr="119DB0A6">
              <w:rPr>
                <w:rFonts w:ascii="Arial" w:eastAsia="Arial" w:hAnsi="Arial" w:cs="Arial"/>
                <w:sz w:val="18"/>
                <w:szCs w:val="18"/>
              </w:rPr>
              <w:t xml:space="preserve">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p</w:t>
            </w:r>
            <w:proofErr w:type="spellEnd"/>
            <w:r w:rsidRPr="119DB0A6">
              <w:rPr>
                <w:rFonts w:ascii="Arial" w:eastAsia="Arial" w:hAnsi="Arial" w:cs="Arial"/>
                <w:sz w:val="18"/>
                <w:szCs w:val="18"/>
                <w:vertAlign w:val="subscript"/>
              </w:rPr>
              <w:t xml:space="preserve"> </w:t>
            </w:r>
            <w:r w:rsidRPr="119DB0A6">
              <w:rPr>
                <w:rFonts w:ascii="Arial" w:eastAsia="Arial" w:hAnsi="Arial" w:cs="Arial"/>
                <w:sz w:val="18"/>
                <w:szCs w:val="18"/>
              </w:rPr>
              <w:t>x K</w:t>
            </w:r>
            <w:r w:rsidRPr="119DB0A6">
              <w:rPr>
                <w:rFonts w:ascii="Arial" w:eastAsia="Arial" w:hAnsi="Arial" w:cs="Arial"/>
                <w:sz w:val="18"/>
                <w:szCs w:val="18"/>
                <w:vertAlign w:val="subscript"/>
              </w:rPr>
              <w:t>layer1_measurement</w:t>
            </w:r>
            <w:r w:rsidRPr="119DB0A6">
              <w:rPr>
                <w:rFonts w:ascii="Arial" w:eastAsia="Arial" w:hAnsi="Arial" w:cs="Arial"/>
                <w:sz w:val="18"/>
                <w:szCs w:val="18"/>
              </w:rPr>
              <w:t xml:space="preserve">) x DRX cycle x </w:t>
            </w:r>
            <w:proofErr w:type="spellStart"/>
            <w:r w:rsidRPr="119DB0A6">
              <w:rPr>
                <w:rFonts w:ascii="Arial" w:eastAsia="Arial" w:hAnsi="Arial" w:cs="Arial"/>
                <w:sz w:val="18"/>
                <w:szCs w:val="18"/>
              </w:rPr>
              <w:t>CSSF</w:t>
            </w:r>
            <w:r w:rsidRPr="119DB0A6">
              <w:rPr>
                <w:rFonts w:ascii="Arial" w:eastAsia="Arial" w:hAnsi="Arial" w:cs="Arial"/>
                <w:sz w:val="18"/>
                <w:szCs w:val="18"/>
                <w:vertAlign w:val="subscript"/>
              </w:rPr>
              <w:t>intra</w:t>
            </w:r>
            <w:proofErr w:type="spellEnd"/>
          </w:p>
        </w:tc>
      </w:tr>
      <w:tr w:rsidR="119DB0A6" w14:paraId="2B153B0F" w14:textId="77777777" w:rsidTr="119DB0A6">
        <w:trPr>
          <w:trHeight w:val="300"/>
        </w:trPr>
        <w:tc>
          <w:tcPr>
            <w:tcW w:w="9241" w:type="dxa"/>
            <w:gridSpan w:val="2"/>
            <w:tcBorders>
              <w:top w:val="single" w:sz="8" w:space="0" w:color="auto"/>
              <w:left w:val="single" w:sz="8" w:space="0" w:color="auto"/>
              <w:bottom w:val="single" w:sz="8" w:space="0" w:color="auto"/>
              <w:right w:val="single" w:sz="8" w:space="0" w:color="auto"/>
            </w:tcBorders>
            <w:tcMar>
              <w:left w:w="28" w:type="dxa"/>
              <w:right w:w="108" w:type="dxa"/>
            </w:tcMar>
          </w:tcPr>
          <w:p w14:paraId="533FF949" w14:textId="3E02AF0C" w:rsidR="119DB0A6" w:rsidRDefault="119DB0A6" w:rsidP="119DB0A6">
            <w:pPr>
              <w:spacing w:after="0"/>
              <w:ind w:left="851" w:hanging="851"/>
            </w:pPr>
            <w:r w:rsidRPr="119DB0A6">
              <w:rPr>
                <w:rFonts w:ascii="Arial" w:eastAsia="Arial" w:hAnsi="Arial" w:cs="Arial"/>
                <w:sz w:val="18"/>
                <w:szCs w:val="18"/>
              </w:rPr>
              <w:t>NOTE 1:If different SMTC periodicities are configured for different cells, the SMTC period in the requirement is the one used by the cell being identified</w:t>
            </w:r>
          </w:p>
        </w:tc>
      </w:tr>
    </w:tbl>
    <w:p w14:paraId="70B4651A" w14:textId="11B5298E" w:rsidR="119DB0A6" w:rsidRDefault="119DB0A6"/>
    <w:p w14:paraId="70029F14" w14:textId="0134A8E9" w:rsidR="23DE4100" w:rsidRDefault="00045A19">
      <w:r>
        <w:t xml:space="preserve">Using the example in Figure 3, </w:t>
      </w:r>
      <w:proofErr w:type="spellStart"/>
      <w:r w:rsidR="23DE4100">
        <w:t>Lmulti_SMTC</w:t>
      </w:r>
      <w:proofErr w:type="spellEnd"/>
      <w:r w:rsidR="23DE4100">
        <w:t xml:space="preserve"> would always be 0 for the measurements of SMTC2 and SMTC4</w:t>
      </w:r>
      <w:r w:rsidR="00E42624">
        <w:t>, the SMTCs with largest periodicity</w:t>
      </w:r>
      <w:r w:rsidR="23DE4100">
        <w:t xml:space="preserve">. In SMTC1 and 3, this term would be equal to the number of measurement occasions within the measurement period that overlap with the </w:t>
      </w:r>
      <w:r w:rsidR="1FE43D55">
        <w:t xml:space="preserve">SMTC2 and SMTC4. </w:t>
      </w:r>
    </w:p>
    <w:p w14:paraId="2817FDB1" w14:textId="77777777" w:rsidR="00610E5A" w:rsidRDefault="00610E5A" w:rsidP="00173E4B">
      <w:pPr>
        <w:rPr>
          <w:lang w:val="en-US"/>
        </w:rPr>
      </w:pPr>
    </w:p>
    <w:p w14:paraId="0F32B173" w14:textId="77777777" w:rsidR="00CD7492" w:rsidRPr="008F786B" w:rsidRDefault="00CD7492" w:rsidP="00A37002">
      <w:pPr>
        <w:pStyle w:val="RAN4H1"/>
      </w:pPr>
      <w:bookmarkStart w:id="17" w:name="_Toc116995848"/>
      <w:r w:rsidRPr="008F786B">
        <w:t>Conclusion</w:t>
      </w:r>
      <w:bookmarkEnd w:id="17"/>
    </w:p>
    <w:p w14:paraId="26CE49BE" w14:textId="7F5B15DC" w:rsidR="00381F95" w:rsidRPr="002B6B92" w:rsidRDefault="002B6B92" w:rsidP="00936159">
      <w:r w:rsidRPr="002B6B92">
        <w:t>In this paper we discussed the impact of the new measurement framework proposed by RAN2 and RAN1 to handle the extended SSB periodicity in NTN under the topic of DL coverage enhancements. Based on our discussion and analysis, we made the following list of proposals:</w:t>
      </w:r>
    </w:p>
    <w:p w14:paraId="52EFC401" w14:textId="77777777" w:rsidR="00381F95" w:rsidRPr="002872A9" w:rsidRDefault="00381F95" w:rsidP="00936159">
      <w:pPr>
        <w:rPr>
          <w:highlight w:val="yellow"/>
        </w:rPr>
      </w:pPr>
    </w:p>
    <w:p w14:paraId="6408296D" w14:textId="77777777" w:rsidR="000F4D00"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10299095" w:history="1">
        <w:r w:rsidR="000F4D00" w:rsidRPr="005A27CB">
          <w:rPr>
            <w:rStyle w:val="Hyperlink"/>
            <w:b/>
            <w:noProof/>
            <w:lang w:val="en-US"/>
          </w:rPr>
          <w:t>Observation 1:</w:t>
        </w:r>
        <w:r w:rsidR="000F4D00" w:rsidRPr="005A27CB">
          <w:rPr>
            <w:rStyle w:val="Hyperlink"/>
            <w:noProof/>
            <w:lang w:val="en-US"/>
          </w:rPr>
          <w:t xml:space="preserve"> For UEs that do not support the new feature, legacy requirements are still applicable.</w:t>
        </w:r>
      </w:hyperlink>
    </w:p>
    <w:p w14:paraId="282A315C" w14:textId="77777777" w:rsidR="000F4D00" w:rsidRDefault="000F4D0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299096" w:history="1">
        <w:r w:rsidRPr="005A27CB">
          <w:rPr>
            <w:rStyle w:val="Hyperlink"/>
            <w:noProof/>
            <w:lang w:val="en-US"/>
          </w:rPr>
          <w:t xml:space="preserve">Proposal 1: In IDLE/INACTIVE mode, if the UE is configured with more SMTCs than supported by UE capability in a frequency layer, including the SMTC related to the serving cell, and location information is </w:t>
        </w:r>
        <w:r w:rsidRPr="005A27CB">
          <w:rPr>
            <w:rStyle w:val="Hyperlink"/>
            <w:noProof/>
            <w:lang w:val="en-US"/>
          </w:rPr>
          <w:lastRenderedPageBreak/>
          <w:t>associated to each SMTC, the UE is expected to downselect the number of SMTCs, based on the location information, to match the maximum supported by UE capability.</w:t>
        </w:r>
      </w:hyperlink>
    </w:p>
    <w:p w14:paraId="75B46C70" w14:textId="77777777" w:rsidR="000F4D00" w:rsidRDefault="000F4D0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299097" w:history="1">
        <w:r w:rsidRPr="005A27CB">
          <w:rPr>
            <w:rStyle w:val="Hyperlink"/>
            <w:noProof/>
            <w:lang w:val="en-US"/>
          </w:rPr>
          <w:t>Proposal 2: The SMTC associated to the serving cell has to be always within the set of SMTCs selected by the UE to perform measurements.</w:t>
        </w:r>
      </w:hyperlink>
    </w:p>
    <w:p w14:paraId="25B0F29C" w14:textId="77777777" w:rsidR="000F4D00" w:rsidRDefault="000F4D0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299098" w:history="1">
        <w:r w:rsidRPr="005A27CB">
          <w:rPr>
            <w:rStyle w:val="Hyperlink"/>
            <w:noProof/>
            <w:lang w:val="en-US"/>
          </w:rPr>
          <w:t>Proposal 3: In connected mode, the NW is not expected to configure a number of SMTCs that exceeds UE capability. If a UE is configured with more SMTCs than supported, the UE will only measure the first X SMTCs (where X is the number of supported SMTCs by this UE).</w:t>
        </w:r>
      </w:hyperlink>
    </w:p>
    <w:p w14:paraId="10581022" w14:textId="77777777" w:rsidR="000F4D00" w:rsidRDefault="000F4D00">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0299099" w:history="1">
        <w:r w:rsidRPr="005A27CB">
          <w:rPr>
            <w:rStyle w:val="Hyperlink"/>
            <w:b/>
            <w:noProof/>
            <w:lang w:val="en-US"/>
          </w:rPr>
          <w:t>Observation 2:</w:t>
        </w:r>
        <w:r w:rsidRPr="005A27CB">
          <w:rPr>
            <w:rStyle w:val="Hyperlink"/>
            <w:noProof/>
            <w:lang w:val="en-US"/>
          </w:rPr>
          <w:t xml:space="preserve"> In the example of Figure 1, the requirements related to SMTC1 are expanded by 2, even though only 1/8 of the SMTC occasions are colliding with other SMTCs.</w:t>
        </w:r>
      </w:hyperlink>
    </w:p>
    <w:p w14:paraId="1D6FAA71" w14:textId="77777777" w:rsidR="000F4D00" w:rsidRDefault="000F4D0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299100" w:history="1">
        <w:r w:rsidRPr="005A27CB">
          <w:rPr>
            <w:rStyle w:val="Hyperlink"/>
            <w:noProof/>
            <w:lang w:val="en-US"/>
          </w:rPr>
          <w:t>Proposal 4: When SMTCs with different periodicities collide, for measurements purposes, the SMTC with longer periodicity shall always take precedence over the SMTC with shortest periodicity.</w:t>
        </w:r>
      </w:hyperlink>
    </w:p>
    <w:p w14:paraId="5FEA6C78" w14:textId="77777777" w:rsidR="000F4D00" w:rsidRDefault="000F4D00">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0299101" w:history="1">
        <w:r w:rsidRPr="005A27CB">
          <w:rPr>
            <w:rStyle w:val="Hyperlink"/>
            <w:b/>
            <w:noProof/>
            <w:lang w:val="en-US"/>
          </w:rPr>
          <w:t>Observation 3:</w:t>
        </w:r>
        <w:r w:rsidRPr="005A27CB">
          <w:rPr>
            <w:rStyle w:val="Hyperlink"/>
            <w:noProof/>
            <w:lang w:val="en-US"/>
          </w:rPr>
          <w:t xml:space="preserve"> In the example above, the total time for the UE to have 5 measurement opportunities in SMTC2 will be enhanced from 1285 ms to 645 ms.</w:t>
        </w:r>
      </w:hyperlink>
    </w:p>
    <w:p w14:paraId="6128DFBA" w14:textId="11C1317B" w:rsidR="000F4D00" w:rsidRDefault="000F4D00">
      <w:pPr>
        <w:pStyle w:val="TOC4"/>
        <w:tabs>
          <w:tab w:val="right" w:leader="dot" w:pos="9617"/>
        </w:tabs>
        <w:rPr>
          <w:rFonts w:asciiTheme="minorHAnsi" w:eastAsiaTheme="minorEastAsia" w:hAnsiTheme="minorHAnsi"/>
          <w:noProof/>
          <w:kern w:val="2"/>
          <w:sz w:val="24"/>
          <w:szCs w:val="24"/>
          <w:lang w:val="en-US" w:eastAsia="zh-CN"/>
          <w14:ligatures w14:val="standardContextual"/>
        </w:rPr>
      </w:pPr>
    </w:p>
    <w:p w14:paraId="781BDF2C" w14:textId="77777777" w:rsidR="000F4D00" w:rsidRDefault="000F4D0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299105" w:history="1">
        <w:r w:rsidRPr="005A27CB">
          <w:rPr>
            <w:rStyle w:val="Hyperlink"/>
            <w:noProof/>
            <w:lang w:val="en-US"/>
          </w:rPr>
          <w:t>Proposal 5: The value of K_multi_SMTC is to be calculated only considering SMTCs with same periodicity.</w:t>
        </w:r>
      </w:hyperlink>
    </w:p>
    <w:p w14:paraId="604D9DCF" w14:textId="77777777" w:rsidR="000F4D00" w:rsidRDefault="000F4D0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299106" w:history="1">
        <w:r w:rsidRPr="005A27CB">
          <w:rPr>
            <w:rStyle w:val="Hyperlink"/>
            <w:noProof/>
            <w:lang w:val="en-US"/>
          </w:rPr>
          <w:t>Proposal 6: For SMTCs with shorter periodicity that overlayp with SMTCs with larger periodicity the formula for the measurement requirements shall consider a factor L_multi_SMTC, which corresponds to the number of measurement opportunities lost due to collision with SMTCs with larger periodicity within 5 SMTC occasions.</w:t>
        </w:r>
      </w:hyperlink>
    </w:p>
    <w:p w14:paraId="7DF8C3E5" w14:textId="1CABEDBC" w:rsidR="00847264" w:rsidRPr="008F786B" w:rsidRDefault="00A4355E" w:rsidP="008C39F7">
      <w:r w:rsidRPr="008F786B">
        <w:fldChar w:fldCharType="end"/>
      </w:r>
      <w:bookmarkStart w:id="18" w:name="_Toc116995849"/>
    </w:p>
    <w:p w14:paraId="4B8014E9" w14:textId="77777777" w:rsidR="003B659E" w:rsidRPr="008F786B" w:rsidRDefault="003B659E" w:rsidP="0060543D">
      <w:pPr>
        <w:pStyle w:val="RAN4H1"/>
        <w:numPr>
          <w:ilvl w:val="0"/>
          <w:numId w:val="0"/>
        </w:numPr>
        <w:ind w:left="360" w:hanging="360"/>
      </w:pPr>
      <w:r w:rsidRPr="008F786B">
        <w:t>References</w:t>
      </w:r>
      <w:bookmarkEnd w:id="18"/>
    </w:p>
    <w:p w14:paraId="64A0B614" w14:textId="2D50E526" w:rsidR="00640B91" w:rsidRPr="00640B91" w:rsidRDefault="00646FAA" w:rsidP="003D6039">
      <w:pPr>
        <w:pStyle w:val="ListParagraph"/>
        <w:numPr>
          <w:ilvl w:val="0"/>
          <w:numId w:val="21"/>
        </w:numPr>
      </w:pPr>
      <w:bookmarkStart w:id="19" w:name="_Ref114500673"/>
      <w:bookmarkStart w:id="20" w:name="_Ref178945346"/>
      <w:bookmarkEnd w:id="19"/>
      <w:r w:rsidRPr="00E42B45">
        <w:rPr>
          <w:lang w:val="en-US"/>
        </w:rPr>
        <w:t>RP-241789</w:t>
      </w:r>
      <w:r>
        <w:rPr>
          <w:lang w:val="en-US"/>
        </w:rPr>
        <w:t xml:space="preserve"> </w:t>
      </w:r>
      <w:r w:rsidRPr="00E42B45">
        <w:rPr>
          <w:lang w:val="en-US"/>
        </w:rPr>
        <w:t>Revised WID: Non-Terrestrial Networks (NTN) for NR Phase 3, Thales, CATT</w:t>
      </w:r>
      <w:r>
        <w:rPr>
          <w:lang w:val="en-US"/>
        </w:rPr>
        <w:t xml:space="preserve"> </w:t>
      </w:r>
      <w:r w:rsidR="00640B91" w:rsidRPr="007A5589">
        <w:t>R2-</w:t>
      </w:r>
      <w:r w:rsidR="00640B91" w:rsidRPr="00640B91">
        <w:t>2506298</w:t>
      </w:r>
      <w:r w:rsidR="00640B91">
        <w:t xml:space="preserve">, </w:t>
      </w:r>
      <w:r w:rsidR="00640B91" w:rsidRPr="00640B91">
        <w:t>LS on additional agreements on SMTC enhancements, RAN WG2 Meeting #1</w:t>
      </w:r>
      <w:r w:rsidR="00640B91">
        <w:t xml:space="preserve">31, </w:t>
      </w:r>
      <w:r w:rsidR="00640B91" w:rsidRPr="00640B91">
        <w:t>Bengaluru, India, 25th - 29thAugust</w:t>
      </w:r>
      <w:r w:rsidR="00640B91">
        <w:t>,</w:t>
      </w:r>
      <w:r w:rsidR="00640B91" w:rsidRPr="00640B91">
        <w:t xml:space="preserve"> 2025</w:t>
      </w:r>
    </w:p>
    <w:bookmarkEnd w:id="20"/>
    <w:p w14:paraId="6C5C8A48" w14:textId="45A5A6D5" w:rsidR="00646FAA" w:rsidRDefault="00646FAA" w:rsidP="00646FAA">
      <w:pPr>
        <w:pStyle w:val="ListParagraph"/>
        <w:numPr>
          <w:ilvl w:val="0"/>
          <w:numId w:val="21"/>
        </w:numPr>
      </w:pPr>
      <w:r w:rsidRPr="007A5589">
        <w:t>R2-</w:t>
      </w:r>
      <w:r w:rsidRPr="00640B91">
        <w:t>2506298</w:t>
      </w:r>
      <w:r>
        <w:t xml:space="preserve">, </w:t>
      </w:r>
      <w:r w:rsidRPr="00640B91">
        <w:t>LS on additional agreements on SMTC enhancements, RAN WG2 Meeting #1</w:t>
      </w:r>
      <w:r>
        <w:t xml:space="preserve">31, </w:t>
      </w:r>
      <w:r w:rsidRPr="00640B91">
        <w:t>Bengaluru, India, 25th - 29thAugust</w:t>
      </w:r>
      <w:r>
        <w:t>,</w:t>
      </w:r>
      <w:r w:rsidRPr="00640B91">
        <w:t xml:space="preserve"> 2025</w:t>
      </w:r>
    </w:p>
    <w:p w14:paraId="4EA8D4A2" w14:textId="77777777" w:rsidR="00646FAA" w:rsidRDefault="00646FAA" w:rsidP="00646FAA">
      <w:pPr>
        <w:pStyle w:val="ListParagraph"/>
        <w:numPr>
          <w:ilvl w:val="0"/>
          <w:numId w:val="21"/>
        </w:numPr>
      </w:pPr>
      <w:r w:rsidRPr="00646FAA">
        <w:t>R4-2512337</w:t>
      </w:r>
      <w:r>
        <w:t xml:space="preserve">, </w:t>
      </w:r>
      <w:r w:rsidRPr="00646FAA">
        <w:t>WF on RRM requirements for NR_NTN_Ph3_Part2</w:t>
      </w:r>
      <w:r>
        <w:t xml:space="preserve">, Qualcomm (Moderator), </w:t>
      </w:r>
      <w:r w:rsidRPr="00640B91">
        <w:t>Bengaluru, India, 25th - 29thAugust</w:t>
      </w:r>
      <w:r>
        <w:t>,</w:t>
      </w:r>
      <w:r w:rsidRPr="00640B91">
        <w:t xml:space="preserve"> 2025</w:t>
      </w:r>
    </w:p>
    <w:p w14:paraId="59F485B5" w14:textId="3DF22A16" w:rsidR="00646FAA" w:rsidRPr="00646FAA" w:rsidRDefault="00646FAA" w:rsidP="00646FAA">
      <w:pPr>
        <w:pStyle w:val="ListParagraph"/>
      </w:pPr>
    </w:p>
    <w:p w14:paraId="0EB70073" w14:textId="77777777" w:rsidR="00E43BF9" w:rsidRDefault="00E43BF9" w:rsidP="00E43BF9">
      <w:pPr>
        <w:ind w:right="-22"/>
      </w:pPr>
    </w:p>
    <w:p w14:paraId="3F0D00D0" w14:textId="77777777" w:rsidR="009E3C7C" w:rsidRDefault="009E3C7C" w:rsidP="00E43BF9">
      <w:pPr>
        <w:ind w:right="-22"/>
      </w:pPr>
    </w:p>
    <w:p w14:paraId="1CDC344A" w14:textId="77777777" w:rsidR="009E3C7C" w:rsidRDefault="009E3C7C" w:rsidP="00E43BF9">
      <w:pPr>
        <w:ind w:right="-22"/>
      </w:pP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CEF70" w14:textId="77777777" w:rsidR="0074441B" w:rsidRDefault="0074441B" w:rsidP="00001C9B">
      <w:pPr>
        <w:spacing w:after="0" w:line="240" w:lineRule="auto"/>
      </w:pPr>
      <w:r>
        <w:separator/>
      </w:r>
    </w:p>
  </w:endnote>
  <w:endnote w:type="continuationSeparator" w:id="0">
    <w:p w14:paraId="1735C7D3" w14:textId="77777777" w:rsidR="0074441B" w:rsidRDefault="0074441B" w:rsidP="00001C9B">
      <w:pPr>
        <w:spacing w:after="0" w:line="240" w:lineRule="auto"/>
      </w:pPr>
      <w:r>
        <w:continuationSeparator/>
      </w:r>
    </w:p>
  </w:endnote>
  <w:endnote w:type="continuationNotice" w:id="1">
    <w:p w14:paraId="776FCAA5" w14:textId="77777777" w:rsidR="0074441B" w:rsidRDefault="00744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05D8E" w14:textId="77777777" w:rsidR="0074441B" w:rsidRDefault="0074441B" w:rsidP="00001C9B">
      <w:pPr>
        <w:spacing w:after="0" w:line="240" w:lineRule="auto"/>
      </w:pPr>
      <w:r>
        <w:separator/>
      </w:r>
    </w:p>
  </w:footnote>
  <w:footnote w:type="continuationSeparator" w:id="0">
    <w:p w14:paraId="7CBBA9F9" w14:textId="77777777" w:rsidR="0074441B" w:rsidRDefault="0074441B" w:rsidP="00001C9B">
      <w:pPr>
        <w:spacing w:after="0" w:line="240" w:lineRule="auto"/>
      </w:pPr>
      <w:r>
        <w:continuationSeparator/>
      </w:r>
    </w:p>
  </w:footnote>
  <w:footnote w:type="continuationNotice" w:id="1">
    <w:p w14:paraId="03BAE4FB" w14:textId="77777777" w:rsidR="0074441B" w:rsidRDefault="007444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2D"/>
    <w:multiLevelType w:val="hybridMultilevel"/>
    <w:tmpl w:val="4A8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C863B2"/>
    <w:multiLevelType w:val="hybridMultilevel"/>
    <w:tmpl w:val="7BF86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7"/>
  </w:num>
  <w:num w:numId="3" w16cid:durableId="1792749823">
    <w:abstractNumId w:val="13"/>
  </w:num>
  <w:num w:numId="4" w16cid:durableId="517735681">
    <w:abstractNumId w:val="6"/>
  </w:num>
  <w:num w:numId="5" w16cid:durableId="1142041724">
    <w:abstractNumId w:val="19"/>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1"/>
  </w:num>
  <w:num w:numId="16" w16cid:durableId="516113510">
    <w:abstractNumId w:val="5"/>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2"/>
  </w:num>
  <w:num w:numId="28" w16cid:durableId="2095668156">
    <w:abstractNumId w:val="4"/>
  </w:num>
  <w:num w:numId="29" w16cid:durableId="700278259">
    <w:abstractNumId w:val="20"/>
  </w:num>
  <w:num w:numId="30" w16cid:durableId="2133164022">
    <w:abstractNumId w:val="16"/>
  </w:num>
  <w:num w:numId="31" w16cid:durableId="386153439">
    <w:abstractNumId w:val="18"/>
  </w:num>
  <w:num w:numId="32" w16cid:durableId="1683899053">
    <w:abstractNumId w:val="8"/>
  </w:num>
  <w:num w:numId="33" w16cid:durableId="216363515">
    <w:abstractNumId w:val="9"/>
  </w:num>
  <w:num w:numId="34" w16cid:durableId="1934630209">
    <w:abstractNumId w:val="0"/>
  </w:num>
  <w:num w:numId="35" w16cid:durableId="2800409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C9B"/>
    <w:rsid w:val="000040DC"/>
    <w:rsid w:val="00011784"/>
    <w:rsid w:val="000151EF"/>
    <w:rsid w:val="000239F5"/>
    <w:rsid w:val="00037101"/>
    <w:rsid w:val="00045A19"/>
    <w:rsid w:val="00061256"/>
    <w:rsid w:val="00072CCA"/>
    <w:rsid w:val="0007601C"/>
    <w:rsid w:val="00081544"/>
    <w:rsid w:val="00085017"/>
    <w:rsid w:val="0008612A"/>
    <w:rsid w:val="00090E18"/>
    <w:rsid w:val="000A10BC"/>
    <w:rsid w:val="000A2ED5"/>
    <w:rsid w:val="000A7F53"/>
    <w:rsid w:val="000B0056"/>
    <w:rsid w:val="000B525E"/>
    <w:rsid w:val="000C3C7B"/>
    <w:rsid w:val="000D0F93"/>
    <w:rsid w:val="000F4D00"/>
    <w:rsid w:val="001058AB"/>
    <w:rsid w:val="00106416"/>
    <w:rsid w:val="00110481"/>
    <w:rsid w:val="001113FD"/>
    <w:rsid w:val="001127C9"/>
    <w:rsid w:val="00114498"/>
    <w:rsid w:val="00115B88"/>
    <w:rsid w:val="00132F6A"/>
    <w:rsid w:val="00133913"/>
    <w:rsid w:val="00140221"/>
    <w:rsid w:val="00142A31"/>
    <w:rsid w:val="0014557E"/>
    <w:rsid w:val="00150012"/>
    <w:rsid w:val="00161913"/>
    <w:rsid w:val="001642FC"/>
    <w:rsid w:val="0016496B"/>
    <w:rsid w:val="00173E4B"/>
    <w:rsid w:val="001743E2"/>
    <w:rsid w:val="001745F8"/>
    <w:rsid w:val="00182687"/>
    <w:rsid w:val="001838CF"/>
    <w:rsid w:val="001868EE"/>
    <w:rsid w:val="00194AEC"/>
    <w:rsid w:val="001A254E"/>
    <w:rsid w:val="001A3BA4"/>
    <w:rsid w:val="001A6D1F"/>
    <w:rsid w:val="001B1EA8"/>
    <w:rsid w:val="001C1636"/>
    <w:rsid w:val="001D6EB2"/>
    <w:rsid w:val="001E30F6"/>
    <w:rsid w:val="0020026A"/>
    <w:rsid w:val="00216379"/>
    <w:rsid w:val="00217EE5"/>
    <w:rsid w:val="00225D10"/>
    <w:rsid w:val="0023559D"/>
    <w:rsid w:val="00235F5C"/>
    <w:rsid w:val="0024235F"/>
    <w:rsid w:val="002433E2"/>
    <w:rsid w:val="00257FA3"/>
    <w:rsid w:val="00277B56"/>
    <w:rsid w:val="00277CB6"/>
    <w:rsid w:val="00282A74"/>
    <w:rsid w:val="00283CEA"/>
    <w:rsid w:val="002849D4"/>
    <w:rsid w:val="002872A9"/>
    <w:rsid w:val="00290244"/>
    <w:rsid w:val="002909DC"/>
    <w:rsid w:val="00295E70"/>
    <w:rsid w:val="002969B6"/>
    <w:rsid w:val="002A19F5"/>
    <w:rsid w:val="002B4922"/>
    <w:rsid w:val="002B6910"/>
    <w:rsid w:val="002B69F3"/>
    <w:rsid w:val="002B6B92"/>
    <w:rsid w:val="002C019B"/>
    <w:rsid w:val="002C0CD1"/>
    <w:rsid w:val="002C22C3"/>
    <w:rsid w:val="002C2D19"/>
    <w:rsid w:val="002D10FA"/>
    <w:rsid w:val="002D4C55"/>
    <w:rsid w:val="002E411A"/>
    <w:rsid w:val="002E6DED"/>
    <w:rsid w:val="00300956"/>
    <w:rsid w:val="00307EE8"/>
    <w:rsid w:val="00317187"/>
    <w:rsid w:val="0032499A"/>
    <w:rsid w:val="0033366B"/>
    <w:rsid w:val="003341F7"/>
    <w:rsid w:val="00347FEC"/>
    <w:rsid w:val="003509DF"/>
    <w:rsid w:val="00353DCC"/>
    <w:rsid w:val="00356F45"/>
    <w:rsid w:val="00366B74"/>
    <w:rsid w:val="003774C0"/>
    <w:rsid w:val="00381F95"/>
    <w:rsid w:val="003A710A"/>
    <w:rsid w:val="003B08CA"/>
    <w:rsid w:val="003B4307"/>
    <w:rsid w:val="003B659E"/>
    <w:rsid w:val="003B6F92"/>
    <w:rsid w:val="003C275E"/>
    <w:rsid w:val="003C4FDE"/>
    <w:rsid w:val="003C7252"/>
    <w:rsid w:val="003D57F2"/>
    <w:rsid w:val="003D6039"/>
    <w:rsid w:val="003E58DF"/>
    <w:rsid w:val="003E70EE"/>
    <w:rsid w:val="003F7007"/>
    <w:rsid w:val="00404C4C"/>
    <w:rsid w:val="0040649A"/>
    <w:rsid w:val="0041423F"/>
    <w:rsid w:val="00414F81"/>
    <w:rsid w:val="00426B9A"/>
    <w:rsid w:val="00436A0F"/>
    <w:rsid w:val="00437150"/>
    <w:rsid w:val="0043750A"/>
    <w:rsid w:val="00447577"/>
    <w:rsid w:val="004732E9"/>
    <w:rsid w:val="00476378"/>
    <w:rsid w:val="004854BB"/>
    <w:rsid w:val="00494493"/>
    <w:rsid w:val="00496606"/>
    <w:rsid w:val="004A3881"/>
    <w:rsid w:val="004C3FBA"/>
    <w:rsid w:val="004D6E6A"/>
    <w:rsid w:val="004D7941"/>
    <w:rsid w:val="004E5E66"/>
    <w:rsid w:val="004E7ADB"/>
    <w:rsid w:val="00503B4D"/>
    <w:rsid w:val="00504EE9"/>
    <w:rsid w:val="00514E4F"/>
    <w:rsid w:val="00521576"/>
    <w:rsid w:val="005250E6"/>
    <w:rsid w:val="00532F86"/>
    <w:rsid w:val="00542D23"/>
    <w:rsid w:val="0054442C"/>
    <w:rsid w:val="005457D3"/>
    <w:rsid w:val="00545E53"/>
    <w:rsid w:val="00550285"/>
    <w:rsid w:val="00550BF3"/>
    <w:rsid w:val="00562492"/>
    <w:rsid w:val="005624E0"/>
    <w:rsid w:val="00572A20"/>
    <w:rsid w:val="00581618"/>
    <w:rsid w:val="005836F6"/>
    <w:rsid w:val="005836F8"/>
    <w:rsid w:val="005918FA"/>
    <w:rsid w:val="00592A86"/>
    <w:rsid w:val="005B3029"/>
    <w:rsid w:val="005B4801"/>
    <w:rsid w:val="005B699A"/>
    <w:rsid w:val="005C18C8"/>
    <w:rsid w:val="005C23A4"/>
    <w:rsid w:val="005C68EE"/>
    <w:rsid w:val="005C7EFA"/>
    <w:rsid w:val="005D1CDF"/>
    <w:rsid w:val="005D2BB7"/>
    <w:rsid w:val="005D6FFE"/>
    <w:rsid w:val="005E61A8"/>
    <w:rsid w:val="005F417F"/>
    <w:rsid w:val="005F6419"/>
    <w:rsid w:val="0060301D"/>
    <w:rsid w:val="0060543D"/>
    <w:rsid w:val="006104DD"/>
    <w:rsid w:val="00610E5A"/>
    <w:rsid w:val="006130B5"/>
    <w:rsid w:val="00614DD8"/>
    <w:rsid w:val="00617400"/>
    <w:rsid w:val="00626CD0"/>
    <w:rsid w:val="00632D29"/>
    <w:rsid w:val="00640B91"/>
    <w:rsid w:val="0064171D"/>
    <w:rsid w:val="00643FEF"/>
    <w:rsid w:val="00646FAA"/>
    <w:rsid w:val="00664950"/>
    <w:rsid w:val="00680547"/>
    <w:rsid w:val="00683220"/>
    <w:rsid w:val="0068781B"/>
    <w:rsid w:val="00687FA0"/>
    <w:rsid w:val="00690F67"/>
    <w:rsid w:val="006A3C11"/>
    <w:rsid w:val="006B7010"/>
    <w:rsid w:val="006C3095"/>
    <w:rsid w:val="006D36CA"/>
    <w:rsid w:val="006D38DC"/>
    <w:rsid w:val="006D782F"/>
    <w:rsid w:val="006E1151"/>
    <w:rsid w:val="006E4F45"/>
    <w:rsid w:val="006E6311"/>
    <w:rsid w:val="00701D91"/>
    <w:rsid w:val="00710D71"/>
    <w:rsid w:val="007145FF"/>
    <w:rsid w:val="00715B2A"/>
    <w:rsid w:val="007225D7"/>
    <w:rsid w:val="00733B21"/>
    <w:rsid w:val="007376A9"/>
    <w:rsid w:val="007406A4"/>
    <w:rsid w:val="0074441B"/>
    <w:rsid w:val="007450F1"/>
    <w:rsid w:val="00751515"/>
    <w:rsid w:val="007626B7"/>
    <w:rsid w:val="00772284"/>
    <w:rsid w:val="0078212B"/>
    <w:rsid w:val="00784DF6"/>
    <w:rsid w:val="00785232"/>
    <w:rsid w:val="007A2588"/>
    <w:rsid w:val="007A5589"/>
    <w:rsid w:val="007B186C"/>
    <w:rsid w:val="007C1696"/>
    <w:rsid w:val="007C3ED0"/>
    <w:rsid w:val="007C48C4"/>
    <w:rsid w:val="007C5971"/>
    <w:rsid w:val="007E42DC"/>
    <w:rsid w:val="007E4668"/>
    <w:rsid w:val="007E73ED"/>
    <w:rsid w:val="007F0416"/>
    <w:rsid w:val="007F54B9"/>
    <w:rsid w:val="007F6898"/>
    <w:rsid w:val="00806A76"/>
    <w:rsid w:val="00811C9D"/>
    <w:rsid w:val="00816C80"/>
    <w:rsid w:val="0081797B"/>
    <w:rsid w:val="0082796A"/>
    <w:rsid w:val="0083707A"/>
    <w:rsid w:val="00841BCD"/>
    <w:rsid w:val="00847264"/>
    <w:rsid w:val="00851A8E"/>
    <w:rsid w:val="0085365B"/>
    <w:rsid w:val="008545E6"/>
    <w:rsid w:val="00866028"/>
    <w:rsid w:val="008668DA"/>
    <w:rsid w:val="0087310E"/>
    <w:rsid w:val="008826C1"/>
    <w:rsid w:val="00883DFD"/>
    <w:rsid w:val="00885A38"/>
    <w:rsid w:val="0089210C"/>
    <w:rsid w:val="00893D2E"/>
    <w:rsid w:val="0089556D"/>
    <w:rsid w:val="00895AFB"/>
    <w:rsid w:val="008A1BF7"/>
    <w:rsid w:val="008A5B0E"/>
    <w:rsid w:val="008B0961"/>
    <w:rsid w:val="008B4C15"/>
    <w:rsid w:val="008B543B"/>
    <w:rsid w:val="008C39F7"/>
    <w:rsid w:val="008E37D6"/>
    <w:rsid w:val="008F3A9A"/>
    <w:rsid w:val="008F786B"/>
    <w:rsid w:val="0090091A"/>
    <w:rsid w:val="0090373B"/>
    <w:rsid w:val="009042BD"/>
    <w:rsid w:val="00904FE4"/>
    <w:rsid w:val="009056ED"/>
    <w:rsid w:val="009062D9"/>
    <w:rsid w:val="009156B4"/>
    <w:rsid w:val="00927740"/>
    <w:rsid w:val="00927B85"/>
    <w:rsid w:val="009314D2"/>
    <w:rsid w:val="0093395F"/>
    <w:rsid w:val="00936159"/>
    <w:rsid w:val="00956A13"/>
    <w:rsid w:val="00962FE4"/>
    <w:rsid w:val="00964655"/>
    <w:rsid w:val="00977E1D"/>
    <w:rsid w:val="009809DB"/>
    <w:rsid w:val="009830EF"/>
    <w:rsid w:val="009920F1"/>
    <w:rsid w:val="009A32FE"/>
    <w:rsid w:val="009A4C8E"/>
    <w:rsid w:val="009B0573"/>
    <w:rsid w:val="009B7B4B"/>
    <w:rsid w:val="009B7C21"/>
    <w:rsid w:val="009D40C9"/>
    <w:rsid w:val="009E3C7C"/>
    <w:rsid w:val="009E4E6E"/>
    <w:rsid w:val="009E5FA9"/>
    <w:rsid w:val="00A04992"/>
    <w:rsid w:val="00A04CBE"/>
    <w:rsid w:val="00A11330"/>
    <w:rsid w:val="00A147AA"/>
    <w:rsid w:val="00A160D8"/>
    <w:rsid w:val="00A21D71"/>
    <w:rsid w:val="00A22B78"/>
    <w:rsid w:val="00A246F7"/>
    <w:rsid w:val="00A25AE5"/>
    <w:rsid w:val="00A26442"/>
    <w:rsid w:val="00A37002"/>
    <w:rsid w:val="00A4355E"/>
    <w:rsid w:val="00A520D9"/>
    <w:rsid w:val="00A64DA0"/>
    <w:rsid w:val="00A74866"/>
    <w:rsid w:val="00A92BCD"/>
    <w:rsid w:val="00AA1B0E"/>
    <w:rsid w:val="00AA47B6"/>
    <w:rsid w:val="00AB5260"/>
    <w:rsid w:val="00AB7A41"/>
    <w:rsid w:val="00AC06C0"/>
    <w:rsid w:val="00AC163B"/>
    <w:rsid w:val="00AC5CA7"/>
    <w:rsid w:val="00AC6058"/>
    <w:rsid w:val="00AD131F"/>
    <w:rsid w:val="00AE2BA5"/>
    <w:rsid w:val="00AE56B1"/>
    <w:rsid w:val="00AE6D09"/>
    <w:rsid w:val="00AF7A7C"/>
    <w:rsid w:val="00AF7F9E"/>
    <w:rsid w:val="00B02070"/>
    <w:rsid w:val="00B258FE"/>
    <w:rsid w:val="00B26A8A"/>
    <w:rsid w:val="00B332D6"/>
    <w:rsid w:val="00B408B6"/>
    <w:rsid w:val="00B41630"/>
    <w:rsid w:val="00B542DA"/>
    <w:rsid w:val="00B62C88"/>
    <w:rsid w:val="00B66B7D"/>
    <w:rsid w:val="00B73862"/>
    <w:rsid w:val="00B73F43"/>
    <w:rsid w:val="00B75BBF"/>
    <w:rsid w:val="00B81CDC"/>
    <w:rsid w:val="00B83820"/>
    <w:rsid w:val="00B91A80"/>
    <w:rsid w:val="00BA308C"/>
    <w:rsid w:val="00BA6B66"/>
    <w:rsid w:val="00BA6E48"/>
    <w:rsid w:val="00BD1174"/>
    <w:rsid w:val="00BE0AF6"/>
    <w:rsid w:val="00BE1F03"/>
    <w:rsid w:val="00BE58A7"/>
    <w:rsid w:val="00BF2218"/>
    <w:rsid w:val="00C0426B"/>
    <w:rsid w:val="00C045DF"/>
    <w:rsid w:val="00C12F4C"/>
    <w:rsid w:val="00C23762"/>
    <w:rsid w:val="00C26D43"/>
    <w:rsid w:val="00C35173"/>
    <w:rsid w:val="00C43F4A"/>
    <w:rsid w:val="00C46548"/>
    <w:rsid w:val="00C574D5"/>
    <w:rsid w:val="00C73F32"/>
    <w:rsid w:val="00C80ADD"/>
    <w:rsid w:val="00C851E4"/>
    <w:rsid w:val="00C86B1D"/>
    <w:rsid w:val="00C87462"/>
    <w:rsid w:val="00C93625"/>
    <w:rsid w:val="00C9468C"/>
    <w:rsid w:val="00CA180C"/>
    <w:rsid w:val="00CB22B2"/>
    <w:rsid w:val="00CB33DF"/>
    <w:rsid w:val="00CC3EE2"/>
    <w:rsid w:val="00CD6C0E"/>
    <w:rsid w:val="00CD7492"/>
    <w:rsid w:val="00CE3037"/>
    <w:rsid w:val="00CE3A6B"/>
    <w:rsid w:val="00CF4463"/>
    <w:rsid w:val="00CF53E4"/>
    <w:rsid w:val="00D00211"/>
    <w:rsid w:val="00D006D1"/>
    <w:rsid w:val="00D025AE"/>
    <w:rsid w:val="00D03109"/>
    <w:rsid w:val="00D06309"/>
    <w:rsid w:val="00D340A1"/>
    <w:rsid w:val="00D349A5"/>
    <w:rsid w:val="00D351EA"/>
    <w:rsid w:val="00D40288"/>
    <w:rsid w:val="00D43403"/>
    <w:rsid w:val="00D50A6B"/>
    <w:rsid w:val="00D52706"/>
    <w:rsid w:val="00D5270B"/>
    <w:rsid w:val="00D62E12"/>
    <w:rsid w:val="00D62E71"/>
    <w:rsid w:val="00D6430D"/>
    <w:rsid w:val="00D66188"/>
    <w:rsid w:val="00D731F6"/>
    <w:rsid w:val="00D740CA"/>
    <w:rsid w:val="00D816F8"/>
    <w:rsid w:val="00D85728"/>
    <w:rsid w:val="00D95481"/>
    <w:rsid w:val="00D96E40"/>
    <w:rsid w:val="00DA5812"/>
    <w:rsid w:val="00DB0ADD"/>
    <w:rsid w:val="00DC27BE"/>
    <w:rsid w:val="00DC58A0"/>
    <w:rsid w:val="00DC7A13"/>
    <w:rsid w:val="00DD0865"/>
    <w:rsid w:val="00DE7064"/>
    <w:rsid w:val="00DF2997"/>
    <w:rsid w:val="00E10BC4"/>
    <w:rsid w:val="00E1415D"/>
    <w:rsid w:val="00E213BD"/>
    <w:rsid w:val="00E233D3"/>
    <w:rsid w:val="00E323E9"/>
    <w:rsid w:val="00E32FB6"/>
    <w:rsid w:val="00E34018"/>
    <w:rsid w:val="00E40487"/>
    <w:rsid w:val="00E42624"/>
    <w:rsid w:val="00E436D4"/>
    <w:rsid w:val="00E437D2"/>
    <w:rsid w:val="00E43BF9"/>
    <w:rsid w:val="00E47BC6"/>
    <w:rsid w:val="00E51930"/>
    <w:rsid w:val="00E54B70"/>
    <w:rsid w:val="00E55751"/>
    <w:rsid w:val="00E55B45"/>
    <w:rsid w:val="00E5652C"/>
    <w:rsid w:val="00E7398E"/>
    <w:rsid w:val="00E80097"/>
    <w:rsid w:val="00E82B94"/>
    <w:rsid w:val="00E87217"/>
    <w:rsid w:val="00EA2311"/>
    <w:rsid w:val="00EB533C"/>
    <w:rsid w:val="00EC2F89"/>
    <w:rsid w:val="00EC7BC3"/>
    <w:rsid w:val="00ED01C8"/>
    <w:rsid w:val="00ED7600"/>
    <w:rsid w:val="00EF6073"/>
    <w:rsid w:val="00EF698B"/>
    <w:rsid w:val="00F1362C"/>
    <w:rsid w:val="00F414F1"/>
    <w:rsid w:val="00F508B8"/>
    <w:rsid w:val="00F54E36"/>
    <w:rsid w:val="00F72CB1"/>
    <w:rsid w:val="00F8215E"/>
    <w:rsid w:val="00F824F5"/>
    <w:rsid w:val="00F90FAB"/>
    <w:rsid w:val="00F9374D"/>
    <w:rsid w:val="00FB6924"/>
    <w:rsid w:val="00FC29B9"/>
    <w:rsid w:val="00FC6FD3"/>
    <w:rsid w:val="00FD59CF"/>
    <w:rsid w:val="00FE305C"/>
    <w:rsid w:val="00FE7C07"/>
    <w:rsid w:val="00FF0301"/>
    <w:rsid w:val="00FF2D73"/>
    <w:rsid w:val="00FF73F5"/>
    <w:rsid w:val="00FF7E15"/>
    <w:rsid w:val="09037434"/>
    <w:rsid w:val="119DB0A6"/>
    <w:rsid w:val="184C25F9"/>
    <w:rsid w:val="1FE43D55"/>
    <w:rsid w:val="23BC654E"/>
    <w:rsid w:val="23DE4100"/>
    <w:rsid w:val="3F69FE83"/>
    <w:rsid w:val="6FAE18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06"/>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 w:type="paragraph" w:styleId="List">
    <w:name w:val="List"/>
    <w:basedOn w:val="Normal"/>
    <w:qFormat/>
    <w:rsid w:val="008545E6"/>
    <w:pPr>
      <w:spacing w:after="180" w:line="276" w:lineRule="auto"/>
      <w:ind w:left="568" w:hanging="284"/>
    </w:pPr>
    <w:rPr>
      <w:rFonts w:eastAsia="SimSun" w:cs="Times New Roman"/>
      <w:szCs w:val="20"/>
    </w:rPr>
  </w:style>
  <w:style w:type="character" w:styleId="Mention">
    <w:name w:val="Mention"/>
    <w:basedOn w:val="DefaultParagraphFont"/>
    <w:uiPriority w:val="99"/>
    <w:unhideWhenUsed/>
    <w:rsid w:val="00200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777">
      <w:bodyDiv w:val="1"/>
      <w:marLeft w:val="0"/>
      <w:marRight w:val="0"/>
      <w:marTop w:val="0"/>
      <w:marBottom w:val="0"/>
      <w:divBdr>
        <w:top w:val="none" w:sz="0" w:space="0" w:color="auto"/>
        <w:left w:val="none" w:sz="0" w:space="0" w:color="auto"/>
        <w:bottom w:val="none" w:sz="0" w:space="0" w:color="auto"/>
        <w:right w:val="none" w:sz="0" w:space="0" w:color="auto"/>
      </w:divBdr>
    </w:div>
    <w:div w:id="50230885">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221601239">
      <w:bodyDiv w:val="1"/>
      <w:marLeft w:val="0"/>
      <w:marRight w:val="0"/>
      <w:marTop w:val="0"/>
      <w:marBottom w:val="0"/>
      <w:divBdr>
        <w:top w:val="none" w:sz="0" w:space="0" w:color="auto"/>
        <w:left w:val="none" w:sz="0" w:space="0" w:color="auto"/>
        <w:bottom w:val="none" w:sz="0" w:space="0" w:color="auto"/>
        <w:right w:val="none" w:sz="0" w:space="0" w:color="auto"/>
      </w:divBdr>
    </w:div>
    <w:div w:id="270819672">
      <w:bodyDiv w:val="1"/>
      <w:marLeft w:val="0"/>
      <w:marRight w:val="0"/>
      <w:marTop w:val="0"/>
      <w:marBottom w:val="0"/>
      <w:divBdr>
        <w:top w:val="none" w:sz="0" w:space="0" w:color="auto"/>
        <w:left w:val="none" w:sz="0" w:space="0" w:color="auto"/>
        <w:bottom w:val="none" w:sz="0" w:space="0" w:color="auto"/>
        <w:right w:val="none" w:sz="0" w:space="0" w:color="auto"/>
      </w:divBdr>
      <w:divsChild>
        <w:div w:id="3869871">
          <w:marLeft w:val="0"/>
          <w:marRight w:val="0"/>
          <w:marTop w:val="0"/>
          <w:marBottom w:val="0"/>
          <w:divBdr>
            <w:top w:val="none" w:sz="0" w:space="0" w:color="auto"/>
            <w:left w:val="none" w:sz="0" w:space="0" w:color="auto"/>
            <w:bottom w:val="none" w:sz="0" w:space="0" w:color="auto"/>
            <w:right w:val="none" w:sz="0" w:space="0" w:color="auto"/>
          </w:divBdr>
        </w:div>
        <w:div w:id="113062698">
          <w:marLeft w:val="0"/>
          <w:marRight w:val="0"/>
          <w:marTop w:val="0"/>
          <w:marBottom w:val="0"/>
          <w:divBdr>
            <w:top w:val="none" w:sz="0" w:space="0" w:color="auto"/>
            <w:left w:val="none" w:sz="0" w:space="0" w:color="auto"/>
            <w:bottom w:val="none" w:sz="0" w:space="0" w:color="auto"/>
            <w:right w:val="none" w:sz="0" w:space="0" w:color="auto"/>
          </w:divBdr>
        </w:div>
        <w:div w:id="321468970">
          <w:marLeft w:val="0"/>
          <w:marRight w:val="0"/>
          <w:marTop w:val="0"/>
          <w:marBottom w:val="0"/>
          <w:divBdr>
            <w:top w:val="none" w:sz="0" w:space="0" w:color="auto"/>
            <w:left w:val="none" w:sz="0" w:space="0" w:color="auto"/>
            <w:bottom w:val="none" w:sz="0" w:space="0" w:color="auto"/>
            <w:right w:val="none" w:sz="0" w:space="0" w:color="auto"/>
          </w:divBdr>
        </w:div>
        <w:div w:id="656227879">
          <w:marLeft w:val="0"/>
          <w:marRight w:val="0"/>
          <w:marTop w:val="0"/>
          <w:marBottom w:val="0"/>
          <w:divBdr>
            <w:top w:val="none" w:sz="0" w:space="0" w:color="auto"/>
            <w:left w:val="none" w:sz="0" w:space="0" w:color="auto"/>
            <w:bottom w:val="none" w:sz="0" w:space="0" w:color="auto"/>
            <w:right w:val="none" w:sz="0" w:space="0" w:color="auto"/>
          </w:divBdr>
        </w:div>
        <w:div w:id="696008745">
          <w:marLeft w:val="0"/>
          <w:marRight w:val="0"/>
          <w:marTop w:val="0"/>
          <w:marBottom w:val="0"/>
          <w:divBdr>
            <w:top w:val="none" w:sz="0" w:space="0" w:color="auto"/>
            <w:left w:val="none" w:sz="0" w:space="0" w:color="auto"/>
            <w:bottom w:val="none" w:sz="0" w:space="0" w:color="auto"/>
            <w:right w:val="none" w:sz="0" w:space="0" w:color="auto"/>
          </w:divBdr>
        </w:div>
        <w:div w:id="858278418">
          <w:marLeft w:val="0"/>
          <w:marRight w:val="0"/>
          <w:marTop w:val="0"/>
          <w:marBottom w:val="0"/>
          <w:divBdr>
            <w:top w:val="none" w:sz="0" w:space="0" w:color="auto"/>
            <w:left w:val="none" w:sz="0" w:space="0" w:color="auto"/>
            <w:bottom w:val="none" w:sz="0" w:space="0" w:color="auto"/>
            <w:right w:val="none" w:sz="0" w:space="0" w:color="auto"/>
          </w:divBdr>
        </w:div>
        <w:div w:id="933560412">
          <w:marLeft w:val="0"/>
          <w:marRight w:val="0"/>
          <w:marTop w:val="0"/>
          <w:marBottom w:val="0"/>
          <w:divBdr>
            <w:top w:val="none" w:sz="0" w:space="0" w:color="auto"/>
            <w:left w:val="none" w:sz="0" w:space="0" w:color="auto"/>
            <w:bottom w:val="none" w:sz="0" w:space="0" w:color="auto"/>
            <w:right w:val="none" w:sz="0" w:space="0" w:color="auto"/>
          </w:divBdr>
        </w:div>
        <w:div w:id="1648702692">
          <w:marLeft w:val="0"/>
          <w:marRight w:val="0"/>
          <w:marTop w:val="0"/>
          <w:marBottom w:val="0"/>
          <w:divBdr>
            <w:top w:val="none" w:sz="0" w:space="0" w:color="auto"/>
            <w:left w:val="none" w:sz="0" w:space="0" w:color="auto"/>
            <w:bottom w:val="none" w:sz="0" w:space="0" w:color="auto"/>
            <w:right w:val="none" w:sz="0" w:space="0" w:color="auto"/>
          </w:divBdr>
        </w:div>
        <w:div w:id="1907252574">
          <w:marLeft w:val="0"/>
          <w:marRight w:val="0"/>
          <w:marTop w:val="0"/>
          <w:marBottom w:val="0"/>
          <w:divBdr>
            <w:top w:val="none" w:sz="0" w:space="0" w:color="auto"/>
            <w:left w:val="none" w:sz="0" w:space="0" w:color="auto"/>
            <w:bottom w:val="none" w:sz="0" w:space="0" w:color="auto"/>
            <w:right w:val="none" w:sz="0" w:space="0" w:color="auto"/>
          </w:divBdr>
        </w:div>
        <w:div w:id="2083479520">
          <w:marLeft w:val="0"/>
          <w:marRight w:val="0"/>
          <w:marTop w:val="0"/>
          <w:marBottom w:val="0"/>
          <w:divBdr>
            <w:top w:val="none" w:sz="0" w:space="0" w:color="auto"/>
            <w:left w:val="none" w:sz="0" w:space="0" w:color="auto"/>
            <w:bottom w:val="none" w:sz="0" w:space="0" w:color="auto"/>
            <w:right w:val="none" w:sz="0" w:space="0" w:color="auto"/>
          </w:divBdr>
        </w:div>
        <w:div w:id="2109616975">
          <w:marLeft w:val="0"/>
          <w:marRight w:val="0"/>
          <w:marTop w:val="0"/>
          <w:marBottom w:val="0"/>
          <w:divBdr>
            <w:top w:val="none" w:sz="0" w:space="0" w:color="auto"/>
            <w:left w:val="none" w:sz="0" w:space="0" w:color="auto"/>
            <w:bottom w:val="none" w:sz="0" w:space="0" w:color="auto"/>
            <w:right w:val="none" w:sz="0" w:space="0" w:color="auto"/>
          </w:divBdr>
        </w:div>
      </w:divsChild>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224028445">
      <w:bodyDiv w:val="1"/>
      <w:marLeft w:val="0"/>
      <w:marRight w:val="0"/>
      <w:marTop w:val="0"/>
      <w:marBottom w:val="0"/>
      <w:divBdr>
        <w:top w:val="none" w:sz="0" w:space="0" w:color="auto"/>
        <w:left w:val="none" w:sz="0" w:space="0" w:color="auto"/>
        <w:bottom w:val="none" w:sz="0" w:space="0" w:color="auto"/>
        <w:right w:val="none" w:sz="0" w:space="0" w:color="auto"/>
      </w:divBdr>
      <w:divsChild>
        <w:div w:id="149489649">
          <w:marLeft w:val="0"/>
          <w:marRight w:val="0"/>
          <w:marTop w:val="0"/>
          <w:marBottom w:val="0"/>
          <w:divBdr>
            <w:top w:val="none" w:sz="0" w:space="0" w:color="auto"/>
            <w:left w:val="none" w:sz="0" w:space="0" w:color="auto"/>
            <w:bottom w:val="none" w:sz="0" w:space="0" w:color="auto"/>
            <w:right w:val="none" w:sz="0" w:space="0" w:color="auto"/>
          </w:divBdr>
        </w:div>
        <w:div w:id="481389908">
          <w:marLeft w:val="0"/>
          <w:marRight w:val="0"/>
          <w:marTop w:val="0"/>
          <w:marBottom w:val="0"/>
          <w:divBdr>
            <w:top w:val="none" w:sz="0" w:space="0" w:color="auto"/>
            <w:left w:val="none" w:sz="0" w:space="0" w:color="auto"/>
            <w:bottom w:val="none" w:sz="0" w:space="0" w:color="auto"/>
            <w:right w:val="none" w:sz="0" w:space="0" w:color="auto"/>
          </w:divBdr>
        </w:div>
        <w:div w:id="916481265">
          <w:marLeft w:val="0"/>
          <w:marRight w:val="0"/>
          <w:marTop w:val="0"/>
          <w:marBottom w:val="0"/>
          <w:divBdr>
            <w:top w:val="none" w:sz="0" w:space="0" w:color="auto"/>
            <w:left w:val="none" w:sz="0" w:space="0" w:color="auto"/>
            <w:bottom w:val="none" w:sz="0" w:space="0" w:color="auto"/>
            <w:right w:val="none" w:sz="0" w:space="0" w:color="auto"/>
          </w:divBdr>
        </w:div>
        <w:div w:id="1045637665">
          <w:marLeft w:val="0"/>
          <w:marRight w:val="0"/>
          <w:marTop w:val="0"/>
          <w:marBottom w:val="0"/>
          <w:divBdr>
            <w:top w:val="none" w:sz="0" w:space="0" w:color="auto"/>
            <w:left w:val="none" w:sz="0" w:space="0" w:color="auto"/>
            <w:bottom w:val="none" w:sz="0" w:space="0" w:color="auto"/>
            <w:right w:val="none" w:sz="0" w:space="0" w:color="auto"/>
          </w:divBdr>
        </w:div>
        <w:div w:id="1121268397">
          <w:marLeft w:val="0"/>
          <w:marRight w:val="0"/>
          <w:marTop w:val="0"/>
          <w:marBottom w:val="0"/>
          <w:divBdr>
            <w:top w:val="none" w:sz="0" w:space="0" w:color="auto"/>
            <w:left w:val="none" w:sz="0" w:space="0" w:color="auto"/>
            <w:bottom w:val="none" w:sz="0" w:space="0" w:color="auto"/>
            <w:right w:val="none" w:sz="0" w:space="0" w:color="auto"/>
          </w:divBdr>
        </w:div>
        <w:div w:id="1192186752">
          <w:marLeft w:val="0"/>
          <w:marRight w:val="0"/>
          <w:marTop w:val="0"/>
          <w:marBottom w:val="0"/>
          <w:divBdr>
            <w:top w:val="none" w:sz="0" w:space="0" w:color="auto"/>
            <w:left w:val="none" w:sz="0" w:space="0" w:color="auto"/>
            <w:bottom w:val="none" w:sz="0" w:space="0" w:color="auto"/>
            <w:right w:val="none" w:sz="0" w:space="0" w:color="auto"/>
          </w:divBdr>
        </w:div>
        <w:div w:id="1282808783">
          <w:marLeft w:val="0"/>
          <w:marRight w:val="0"/>
          <w:marTop w:val="0"/>
          <w:marBottom w:val="0"/>
          <w:divBdr>
            <w:top w:val="none" w:sz="0" w:space="0" w:color="auto"/>
            <w:left w:val="none" w:sz="0" w:space="0" w:color="auto"/>
            <w:bottom w:val="none" w:sz="0" w:space="0" w:color="auto"/>
            <w:right w:val="none" w:sz="0" w:space="0" w:color="auto"/>
          </w:divBdr>
        </w:div>
        <w:div w:id="1484346274">
          <w:marLeft w:val="0"/>
          <w:marRight w:val="0"/>
          <w:marTop w:val="0"/>
          <w:marBottom w:val="0"/>
          <w:divBdr>
            <w:top w:val="none" w:sz="0" w:space="0" w:color="auto"/>
            <w:left w:val="none" w:sz="0" w:space="0" w:color="auto"/>
            <w:bottom w:val="none" w:sz="0" w:space="0" w:color="auto"/>
            <w:right w:val="none" w:sz="0" w:space="0" w:color="auto"/>
          </w:divBdr>
        </w:div>
        <w:div w:id="1918437169">
          <w:marLeft w:val="0"/>
          <w:marRight w:val="0"/>
          <w:marTop w:val="0"/>
          <w:marBottom w:val="0"/>
          <w:divBdr>
            <w:top w:val="none" w:sz="0" w:space="0" w:color="auto"/>
            <w:left w:val="none" w:sz="0" w:space="0" w:color="auto"/>
            <w:bottom w:val="none" w:sz="0" w:space="0" w:color="auto"/>
            <w:right w:val="none" w:sz="0" w:space="0" w:color="auto"/>
          </w:divBdr>
        </w:div>
        <w:div w:id="1991665176">
          <w:marLeft w:val="0"/>
          <w:marRight w:val="0"/>
          <w:marTop w:val="0"/>
          <w:marBottom w:val="0"/>
          <w:divBdr>
            <w:top w:val="none" w:sz="0" w:space="0" w:color="auto"/>
            <w:left w:val="none" w:sz="0" w:space="0" w:color="auto"/>
            <w:bottom w:val="none" w:sz="0" w:space="0" w:color="auto"/>
            <w:right w:val="none" w:sz="0" w:space="0" w:color="auto"/>
          </w:divBdr>
        </w:div>
        <w:div w:id="2145197797">
          <w:marLeft w:val="0"/>
          <w:marRight w:val="0"/>
          <w:marTop w:val="0"/>
          <w:marBottom w:val="0"/>
          <w:divBdr>
            <w:top w:val="none" w:sz="0" w:space="0" w:color="auto"/>
            <w:left w:val="none" w:sz="0" w:space="0" w:color="auto"/>
            <w:bottom w:val="none" w:sz="0" w:space="0" w:color="auto"/>
            <w:right w:val="none" w:sz="0" w:space="0" w:color="auto"/>
          </w:divBdr>
        </w:div>
      </w:divsChild>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759403696">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85299367">
      <w:bodyDiv w:val="1"/>
      <w:marLeft w:val="0"/>
      <w:marRight w:val="0"/>
      <w:marTop w:val="0"/>
      <w:marBottom w:val="0"/>
      <w:divBdr>
        <w:top w:val="none" w:sz="0" w:space="0" w:color="auto"/>
        <w:left w:val="none" w:sz="0" w:space="0" w:color="auto"/>
        <w:bottom w:val="none" w:sz="0" w:space="0" w:color="auto"/>
        <w:right w:val="none" w:sz="0" w:space="0" w:color="auto"/>
      </w:divBdr>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RBI5PAMIO524-1616901215-57382</_dlc_DocId>
    <HideFromDelve xmlns="71c5aaf6-e6ce-465b-b873-5148d2a4c105">false</HideFromDelve>
    <Comments xmlns="3f2ce089-3858-4176-9a21-a30f9204848e">OK</Comments>
    <_dlc_DocIdUrl xmlns="71c5aaf6-e6ce-465b-b873-5148d2a4c105">
      <Url>https://nokia.sharepoint.com/sites/gxp/_layouts/15/DocIdRedir.aspx?ID=RBI5PAMIO524-1616901215-57382</Url>
      <Description>RBI5PAMIO524-1616901215-57382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F413C-D141-4AD5-AD1B-4E4CFB434087}">
  <ds:schemaRefs>
    <ds:schemaRef ds:uri="http://schemas.microsoft.com/sharepoint/v3/contenttype/forms"/>
  </ds:schemaRefs>
</ds:datastoreItem>
</file>

<file path=customXml/itemProps2.xml><?xml version="1.0" encoding="utf-8"?>
<ds:datastoreItem xmlns:ds="http://schemas.openxmlformats.org/officeDocument/2006/customXml" ds:itemID="{FD22B1F1-2613-4000-A806-CBE7EFC2838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5CC9EE4F-D762-4CCE-893D-52CB2A240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04EFA-43EA-4906-B716-781E26DBCFDD}">
  <ds:schemaRefs>
    <ds:schemaRef ds:uri="Microsoft.SharePoint.Taxonomy.ContentTypeSync"/>
  </ds:schemaRefs>
</ds:datastoreItem>
</file>

<file path=customXml/itemProps5.xml><?xml version="1.0" encoding="utf-8"?>
<ds:datastoreItem xmlns:ds="http://schemas.openxmlformats.org/officeDocument/2006/customXml" ds:itemID="{052AE1D8-F1E0-4500-A150-39F3E3833C05}">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2289</Words>
  <Characters>13050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15309</CharactersWithSpaces>
  <SharedDoc>false</SharedDoc>
  <HLinks>
    <vt:vector size="66" baseType="variant">
      <vt:variant>
        <vt:i4>1900602</vt:i4>
      </vt:variant>
      <vt:variant>
        <vt:i4>50</vt:i4>
      </vt:variant>
      <vt:variant>
        <vt:i4>0</vt:i4>
      </vt:variant>
      <vt:variant>
        <vt:i4>5</vt:i4>
      </vt:variant>
      <vt:variant>
        <vt:lpwstr/>
      </vt:variant>
      <vt:variant>
        <vt:lpwstr>_Toc210299106</vt:lpwstr>
      </vt:variant>
      <vt:variant>
        <vt:i4>1900602</vt:i4>
      </vt:variant>
      <vt:variant>
        <vt:i4>47</vt:i4>
      </vt:variant>
      <vt:variant>
        <vt:i4>0</vt:i4>
      </vt:variant>
      <vt:variant>
        <vt:i4>5</vt:i4>
      </vt:variant>
      <vt:variant>
        <vt:lpwstr/>
      </vt:variant>
      <vt:variant>
        <vt:lpwstr>_Toc210299105</vt:lpwstr>
      </vt:variant>
      <vt:variant>
        <vt:i4>1900602</vt:i4>
      </vt:variant>
      <vt:variant>
        <vt:i4>35</vt:i4>
      </vt:variant>
      <vt:variant>
        <vt:i4>0</vt:i4>
      </vt:variant>
      <vt:variant>
        <vt:i4>5</vt:i4>
      </vt:variant>
      <vt:variant>
        <vt:lpwstr/>
      </vt:variant>
      <vt:variant>
        <vt:lpwstr>_Toc210299101</vt:lpwstr>
      </vt:variant>
      <vt:variant>
        <vt:i4>1900602</vt:i4>
      </vt:variant>
      <vt:variant>
        <vt:i4>32</vt:i4>
      </vt:variant>
      <vt:variant>
        <vt:i4>0</vt:i4>
      </vt:variant>
      <vt:variant>
        <vt:i4>5</vt:i4>
      </vt:variant>
      <vt:variant>
        <vt:lpwstr/>
      </vt:variant>
      <vt:variant>
        <vt:lpwstr>_Toc210299100</vt:lpwstr>
      </vt:variant>
      <vt:variant>
        <vt:i4>1310779</vt:i4>
      </vt:variant>
      <vt:variant>
        <vt:i4>29</vt:i4>
      </vt:variant>
      <vt:variant>
        <vt:i4>0</vt:i4>
      </vt:variant>
      <vt:variant>
        <vt:i4>5</vt:i4>
      </vt:variant>
      <vt:variant>
        <vt:lpwstr/>
      </vt:variant>
      <vt:variant>
        <vt:lpwstr>_Toc210299099</vt:lpwstr>
      </vt:variant>
      <vt:variant>
        <vt:i4>1310779</vt:i4>
      </vt:variant>
      <vt:variant>
        <vt:i4>26</vt:i4>
      </vt:variant>
      <vt:variant>
        <vt:i4>0</vt:i4>
      </vt:variant>
      <vt:variant>
        <vt:i4>5</vt:i4>
      </vt:variant>
      <vt:variant>
        <vt:lpwstr/>
      </vt:variant>
      <vt:variant>
        <vt:lpwstr>_Toc210299098</vt:lpwstr>
      </vt:variant>
      <vt:variant>
        <vt:i4>1310779</vt:i4>
      </vt:variant>
      <vt:variant>
        <vt:i4>23</vt:i4>
      </vt:variant>
      <vt:variant>
        <vt:i4>0</vt:i4>
      </vt:variant>
      <vt:variant>
        <vt:i4>5</vt:i4>
      </vt:variant>
      <vt:variant>
        <vt:lpwstr/>
      </vt:variant>
      <vt:variant>
        <vt:lpwstr>_Toc210299097</vt:lpwstr>
      </vt:variant>
      <vt:variant>
        <vt:i4>1310779</vt:i4>
      </vt:variant>
      <vt:variant>
        <vt:i4>20</vt:i4>
      </vt:variant>
      <vt:variant>
        <vt:i4>0</vt:i4>
      </vt:variant>
      <vt:variant>
        <vt:i4>5</vt:i4>
      </vt:variant>
      <vt:variant>
        <vt:lpwstr/>
      </vt:variant>
      <vt:variant>
        <vt:lpwstr>_Toc210299096</vt:lpwstr>
      </vt:variant>
      <vt:variant>
        <vt:i4>1310779</vt:i4>
      </vt:variant>
      <vt:variant>
        <vt:i4>17</vt:i4>
      </vt:variant>
      <vt:variant>
        <vt:i4>0</vt:i4>
      </vt:variant>
      <vt:variant>
        <vt:i4>5</vt:i4>
      </vt:variant>
      <vt:variant>
        <vt:lpwstr/>
      </vt:variant>
      <vt:variant>
        <vt:lpwstr>_Toc210299095</vt:lpwstr>
      </vt:variant>
      <vt:variant>
        <vt:i4>3014727</vt:i4>
      </vt:variant>
      <vt:variant>
        <vt:i4>3</vt:i4>
      </vt:variant>
      <vt:variant>
        <vt:i4>0</vt:i4>
      </vt:variant>
      <vt:variant>
        <vt:i4>5</vt:i4>
      </vt:variant>
      <vt:variant>
        <vt:lpwstr>mailto:rafhael.medeiros_de_amorim@nokia.com</vt:lpwstr>
      </vt:variant>
      <vt:variant>
        <vt:lpwstr/>
      </vt:variant>
      <vt:variant>
        <vt:i4>3014727</vt:i4>
      </vt:variant>
      <vt:variant>
        <vt:i4>0</vt:i4>
      </vt:variant>
      <vt:variant>
        <vt:i4>0</vt:i4>
      </vt:variant>
      <vt:variant>
        <vt:i4>5</vt:i4>
      </vt:variant>
      <vt:variant>
        <vt:lpwstr>mailto:rafhael.medeiros_de_amorim@nokia.com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2025-10-03T14:31:00Z</dcterms:created>
  <dcterms:modified xsi:type="dcterms:W3CDTF">2025-10-03T17:09:00Z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aeadbff0-d0d2-470e-a034-5c122a99bece</vt:lpwstr>
  </property>
</Properties>
</file>